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11673" w14:textId="33A3DA9F" w:rsidR="0034704A" w:rsidRPr="00965BDB" w:rsidRDefault="00BC15DB" w:rsidP="00DB32D0">
      <w:pPr>
        <w:pStyle w:val="Authornames"/>
        <w:rPr>
          <w:b/>
          <w:lang w:val="en-US"/>
        </w:rPr>
      </w:pPr>
      <w:r w:rsidRPr="00965BDB">
        <w:rPr>
          <w:b/>
          <w:lang w:val="en-US"/>
        </w:rPr>
        <w:t>The reliability of parametric methods in the case of rating scales: a simulation study</w:t>
      </w:r>
    </w:p>
    <w:p w14:paraId="5959D82B" w14:textId="1E8F11CD" w:rsidR="00442B9C" w:rsidRPr="00965BDB" w:rsidRDefault="0034704A" w:rsidP="00DB32D0">
      <w:pPr>
        <w:pStyle w:val="Authornames"/>
        <w:rPr>
          <w:lang w:val="en-US"/>
        </w:rPr>
      </w:pPr>
      <w:r w:rsidRPr="00965BDB">
        <w:rPr>
          <w:lang w:val="en-US"/>
        </w:rPr>
        <w:t xml:space="preserve">Harald </w:t>
      </w:r>
      <w:proofErr w:type="spellStart"/>
      <w:r w:rsidRPr="00965BDB">
        <w:rPr>
          <w:lang w:val="en-US"/>
        </w:rPr>
        <w:t>Kindermann</w:t>
      </w:r>
      <w:r w:rsidR="004F428E" w:rsidRPr="00965BDB">
        <w:rPr>
          <w:vertAlign w:val="superscript"/>
          <w:lang w:val="en-US"/>
        </w:rPr>
        <w:t>a</w:t>
      </w:r>
      <w:proofErr w:type="spellEnd"/>
      <w:r w:rsidR="004F428E" w:rsidRPr="00965BDB">
        <w:rPr>
          <w:lang w:val="en-US"/>
        </w:rPr>
        <w:t>*</w:t>
      </w:r>
    </w:p>
    <w:p w14:paraId="66C6BE5D" w14:textId="196A6CD3" w:rsidR="00997B0F" w:rsidRPr="00965BDB" w:rsidRDefault="00B64FA3" w:rsidP="00DB32D0">
      <w:pPr>
        <w:pStyle w:val="Affiliation"/>
        <w:rPr>
          <w:lang w:val="en-US"/>
        </w:rPr>
      </w:pPr>
      <w:r w:rsidRPr="00965BDB">
        <w:rPr>
          <w:vertAlign w:val="superscript"/>
          <w:lang w:val="en-US"/>
        </w:rPr>
        <w:t>a</w:t>
      </w:r>
      <w:r w:rsidR="0034704A" w:rsidRPr="00965BDB">
        <w:rPr>
          <w:lang w:val="en-US"/>
        </w:rPr>
        <w:t xml:space="preserve"> University of Applied Sciences Upper Austria, Marketing and Electronic Business, Steyr, Austria </w:t>
      </w:r>
    </w:p>
    <w:p w14:paraId="7181E055" w14:textId="21768B47" w:rsidR="000A4428" w:rsidRPr="00965BDB" w:rsidRDefault="005C056D" w:rsidP="00DB32D0">
      <w:pPr>
        <w:pStyle w:val="Correspondencedetails"/>
        <w:rPr>
          <w:lang w:val="en-US"/>
        </w:rPr>
      </w:pPr>
      <w:r w:rsidRPr="00965BDB">
        <w:rPr>
          <w:lang w:val="en-US"/>
        </w:rPr>
        <w:t>*</w:t>
      </w:r>
      <w:proofErr w:type="gramStart"/>
      <w:r w:rsidR="00C14585" w:rsidRPr="00965BDB">
        <w:rPr>
          <w:lang w:val="en-US"/>
        </w:rPr>
        <w:t>corresponding</w:t>
      </w:r>
      <w:proofErr w:type="gramEnd"/>
      <w:r w:rsidR="00C14585" w:rsidRPr="00965BDB">
        <w:rPr>
          <w:lang w:val="en-US"/>
        </w:rPr>
        <w:t xml:space="preserve"> author</w:t>
      </w:r>
      <w:r w:rsidR="0034704A" w:rsidRPr="00965BDB">
        <w:rPr>
          <w:lang w:val="en-US"/>
        </w:rPr>
        <w:t xml:space="preserve">: </w:t>
      </w:r>
      <w:hyperlink r:id="rId8" w:history="1">
        <w:r w:rsidR="007346F5" w:rsidRPr="00965BDB">
          <w:rPr>
            <w:rStyle w:val="Hyperlink"/>
            <w:lang w:val="en-US"/>
          </w:rPr>
          <w:t>harald.kindermann@fh-steyr.at</w:t>
        </w:r>
      </w:hyperlink>
    </w:p>
    <w:p w14:paraId="791BEA36" w14:textId="77777777" w:rsidR="007346F5" w:rsidRPr="00965BDB" w:rsidRDefault="007346F5" w:rsidP="00DB32D0">
      <w:pPr>
        <w:tabs>
          <w:tab w:val="left" w:pos="1418"/>
        </w:tabs>
        <w:rPr>
          <w:b/>
          <w:bCs/>
          <w:sz w:val="20"/>
          <w:szCs w:val="20"/>
          <w:lang w:val="en-US"/>
        </w:rPr>
      </w:pPr>
    </w:p>
    <w:p w14:paraId="26CBC573" w14:textId="420FF44C" w:rsidR="007346F5" w:rsidRPr="00965BDB" w:rsidRDefault="007346F5" w:rsidP="00DB32D0">
      <w:pPr>
        <w:tabs>
          <w:tab w:val="left" w:pos="1418"/>
        </w:tabs>
        <w:rPr>
          <w:sz w:val="20"/>
          <w:szCs w:val="20"/>
          <w:lang w:val="en-US"/>
        </w:rPr>
      </w:pPr>
      <w:r w:rsidRPr="00965BDB">
        <w:rPr>
          <w:b/>
          <w:bCs/>
          <w:sz w:val="20"/>
          <w:szCs w:val="20"/>
          <w:lang w:val="en-US"/>
        </w:rPr>
        <w:t>ORCID</w:t>
      </w:r>
      <w:r w:rsidRPr="00965BDB">
        <w:rPr>
          <w:sz w:val="20"/>
          <w:szCs w:val="20"/>
          <w:lang w:val="en-US"/>
        </w:rPr>
        <w:t xml:space="preserve">: </w:t>
      </w:r>
      <w:r w:rsidRPr="00965BDB">
        <w:rPr>
          <w:sz w:val="20"/>
          <w:szCs w:val="20"/>
          <w:lang w:val="en-US"/>
        </w:rPr>
        <w:tab/>
      </w:r>
      <w:hyperlink r:id="rId9" w:history="1">
        <w:r w:rsidRPr="00965BDB">
          <w:rPr>
            <w:rStyle w:val="Hyperlink"/>
            <w:sz w:val="20"/>
            <w:szCs w:val="20"/>
            <w:lang w:val="en-US"/>
          </w:rPr>
          <w:t>https://orcid.org/my-orcid?orcid=0000-0003-3308-2981</w:t>
        </w:r>
      </w:hyperlink>
    </w:p>
    <w:p w14:paraId="72629262" w14:textId="77777777" w:rsidR="007346F5" w:rsidRPr="00965BDB" w:rsidRDefault="007346F5" w:rsidP="00DB32D0">
      <w:pPr>
        <w:tabs>
          <w:tab w:val="left" w:pos="1418"/>
        </w:tabs>
        <w:rPr>
          <w:sz w:val="20"/>
          <w:szCs w:val="20"/>
          <w:lang w:val="en-US"/>
        </w:rPr>
      </w:pPr>
      <w:r w:rsidRPr="00965BDB">
        <w:rPr>
          <w:b/>
          <w:bCs/>
          <w:sz w:val="20"/>
          <w:szCs w:val="20"/>
          <w:lang w:val="en-US"/>
        </w:rPr>
        <w:t>NCBI</w:t>
      </w:r>
      <w:r w:rsidRPr="00965BDB">
        <w:rPr>
          <w:sz w:val="20"/>
          <w:szCs w:val="20"/>
          <w:lang w:val="en-US"/>
        </w:rPr>
        <w:t>:</w:t>
      </w:r>
      <w:r w:rsidRPr="00965BDB">
        <w:rPr>
          <w:sz w:val="20"/>
          <w:szCs w:val="20"/>
          <w:lang w:val="en-US"/>
        </w:rPr>
        <w:tab/>
      </w:r>
      <w:hyperlink r:id="rId10" w:history="1">
        <w:r w:rsidRPr="00965BDB">
          <w:rPr>
            <w:rStyle w:val="Hyperlink"/>
            <w:sz w:val="20"/>
            <w:szCs w:val="20"/>
            <w:shd w:val="clear" w:color="auto" w:fill="FFFFFF"/>
            <w:lang w:val="en-US"/>
          </w:rPr>
          <w:t>https://www.ncbi.nlm.nih.gov/myncbi/harald.kindermann.2/bibliography/public/</w:t>
        </w:r>
      </w:hyperlink>
    </w:p>
    <w:p w14:paraId="4A96AFFD" w14:textId="77777777" w:rsidR="007346F5" w:rsidRPr="00965BDB" w:rsidRDefault="007346F5" w:rsidP="00DB32D0">
      <w:pPr>
        <w:tabs>
          <w:tab w:val="left" w:pos="1418"/>
        </w:tabs>
        <w:rPr>
          <w:sz w:val="20"/>
          <w:szCs w:val="20"/>
          <w:lang w:val="en-US"/>
        </w:rPr>
      </w:pPr>
      <w:r w:rsidRPr="00965BDB">
        <w:rPr>
          <w:b/>
          <w:bCs/>
          <w:sz w:val="20"/>
          <w:szCs w:val="20"/>
          <w:lang w:val="en-US"/>
        </w:rPr>
        <w:t>Google Scholar</w:t>
      </w:r>
      <w:r w:rsidRPr="00965BDB">
        <w:rPr>
          <w:sz w:val="20"/>
          <w:szCs w:val="20"/>
          <w:lang w:val="en-US"/>
        </w:rPr>
        <w:t xml:space="preserve">: </w:t>
      </w:r>
      <w:r w:rsidRPr="00965BDB">
        <w:rPr>
          <w:sz w:val="20"/>
          <w:szCs w:val="20"/>
          <w:lang w:val="en-US"/>
        </w:rPr>
        <w:tab/>
      </w:r>
      <w:hyperlink r:id="rId11" w:history="1">
        <w:r w:rsidRPr="00965BDB">
          <w:rPr>
            <w:rStyle w:val="Hyperlink"/>
            <w:sz w:val="20"/>
            <w:szCs w:val="20"/>
            <w:lang w:val="en-US"/>
          </w:rPr>
          <w:t>https://scholar.google.at/citations?user=ukt11NMAAAAJ&amp;hl=en</w:t>
        </w:r>
      </w:hyperlink>
    </w:p>
    <w:p w14:paraId="11EA5674" w14:textId="77777777" w:rsidR="007346F5" w:rsidRPr="00965BDB" w:rsidRDefault="007346F5" w:rsidP="00DB32D0">
      <w:pPr>
        <w:tabs>
          <w:tab w:val="left" w:pos="1418"/>
        </w:tabs>
        <w:rPr>
          <w:sz w:val="20"/>
          <w:szCs w:val="20"/>
          <w:lang w:val="en-US"/>
        </w:rPr>
      </w:pPr>
      <w:proofErr w:type="spellStart"/>
      <w:r w:rsidRPr="00965BDB">
        <w:rPr>
          <w:b/>
          <w:bCs/>
          <w:sz w:val="20"/>
          <w:szCs w:val="20"/>
          <w:lang w:val="en-US"/>
        </w:rPr>
        <w:t>Researchgate</w:t>
      </w:r>
      <w:proofErr w:type="spellEnd"/>
      <w:r w:rsidRPr="00965BDB">
        <w:rPr>
          <w:sz w:val="20"/>
          <w:szCs w:val="20"/>
          <w:lang w:val="en-US"/>
        </w:rPr>
        <w:t>:</w:t>
      </w:r>
      <w:r w:rsidRPr="00965BDB">
        <w:rPr>
          <w:sz w:val="20"/>
          <w:szCs w:val="20"/>
          <w:lang w:val="en-US"/>
        </w:rPr>
        <w:tab/>
      </w:r>
      <w:hyperlink r:id="rId12" w:history="1">
        <w:r w:rsidRPr="00965BDB">
          <w:rPr>
            <w:rStyle w:val="Hyperlink"/>
            <w:sz w:val="20"/>
            <w:szCs w:val="20"/>
            <w:lang w:val="en-US"/>
          </w:rPr>
          <w:t>https://www.researchgate.net/profile/Harald-Kindermann/research</w:t>
        </w:r>
      </w:hyperlink>
    </w:p>
    <w:p w14:paraId="2D05A04C" w14:textId="77777777" w:rsidR="007346F5" w:rsidRPr="00965BDB" w:rsidRDefault="007346F5" w:rsidP="00DB32D0">
      <w:pPr>
        <w:pStyle w:val="Correspondencedetails"/>
        <w:rPr>
          <w:lang w:val="en-US"/>
        </w:rPr>
      </w:pPr>
    </w:p>
    <w:p w14:paraId="62BFEF31" w14:textId="3006C7B3" w:rsidR="00C246C5" w:rsidRPr="00965BDB" w:rsidRDefault="00C14585" w:rsidP="00DB32D0">
      <w:pPr>
        <w:pStyle w:val="Articletitle"/>
        <w:rPr>
          <w:lang w:val="en-US"/>
        </w:rPr>
      </w:pPr>
      <w:r w:rsidRPr="00965BDB">
        <w:rPr>
          <w:lang w:val="en-US"/>
        </w:rPr>
        <w:br w:type="page"/>
      </w:r>
      <w:bookmarkStart w:id="0" w:name="_Hlk128655756"/>
      <w:r w:rsidR="00BC15DB" w:rsidRPr="00965BDB">
        <w:rPr>
          <w:lang w:val="en-US"/>
        </w:rPr>
        <w:lastRenderedPageBreak/>
        <w:t>The reliability of parametric methods in the case of rating scales: a simulation study</w:t>
      </w:r>
      <w:bookmarkEnd w:id="0"/>
    </w:p>
    <w:p w14:paraId="784806CF" w14:textId="2ABF1464" w:rsidR="00266354" w:rsidRPr="00965BDB" w:rsidRDefault="007346F5" w:rsidP="00DB32D0">
      <w:pPr>
        <w:pStyle w:val="Abstract"/>
        <w:rPr>
          <w:lang w:val="en-US"/>
        </w:rPr>
      </w:pPr>
      <w:r w:rsidRPr="00965BDB">
        <w:rPr>
          <w:b/>
          <w:bCs/>
          <w:lang w:val="en-US"/>
        </w:rPr>
        <w:t>Abstract</w:t>
      </w:r>
      <w:r w:rsidRPr="00965BDB">
        <w:rPr>
          <w:lang w:val="en-US"/>
        </w:rPr>
        <w:t xml:space="preserve">: </w:t>
      </w:r>
      <w:r w:rsidR="00BC15DB" w:rsidRPr="00965BDB">
        <w:rPr>
          <w:lang w:val="en-US"/>
        </w:rPr>
        <w:t xml:space="preserve">A recurring </w:t>
      </w:r>
      <w:r w:rsidR="00AA457E">
        <w:rPr>
          <w:lang w:val="en-US"/>
        </w:rPr>
        <w:t>question</w:t>
      </w:r>
      <w:r w:rsidR="00AA457E" w:rsidRPr="00965BDB">
        <w:rPr>
          <w:lang w:val="en-US"/>
        </w:rPr>
        <w:t xml:space="preserve"> </w:t>
      </w:r>
      <w:r w:rsidR="00BC15DB" w:rsidRPr="00965BDB">
        <w:rPr>
          <w:lang w:val="en-US"/>
        </w:rPr>
        <w:t xml:space="preserve">is whether rating scales </w:t>
      </w:r>
      <w:r w:rsidR="00AA457E">
        <w:rPr>
          <w:lang w:val="en-US"/>
        </w:rPr>
        <w:t>should</w:t>
      </w:r>
      <w:r w:rsidR="00AA457E" w:rsidRPr="00965BDB">
        <w:rPr>
          <w:lang w:val="en-US"/>
        </w:rPr>
        <w:t xml:space="preserve"> </w:t>
      </w:r>
      <w:r w:rsidR="00BC15DB" w:rsidRPr="00965BDB">
        <w:rPr>
          <w:lang w:val="en-US"/>
        </w:rPr>
        <w:t xml:space="preserve">be considered metrically scaled or merely ordinally scaled. This </w:t>
      </w:r>
      <w:r w:rsidR="0011052F">
        <w:rPr>
          <w:lang w:val="en-US"/>
        </w:rPr>
        <w:t>has</w:t>
      </w:r>
      <w:r w:rsidR="00BC15DB" w:rsidRPr="00965BDB">
        <w:rPr>
          <w:lang w:val="en-US"/>
        </w:rPr>
        <w:t xml:space="preserve"> direct</w:t>
      </w:r>
      <w:r w:rsidR="0011052F">
        <w:rPr>
          <w:lang w:val="en-US"/>
        </w:rPr>
        <w:t xml:space="preserve"> implications for</w:t>
      </w:r>
      <w:r w:rsidR="00BC15DB" w:rsidRPr="00965BDB">
        <w:rPr>
          <w:lang w:val="en-US"/>
        </w:rPr>
        <w:t xml:space="preserve"> the permissible statistical procedures for significance testing. Based on the results of a simulation study, it is shown that the use of parametric procedures for rating scales has distinct advantages over the non-parametric alternative</w:t>
      </w:r>
      <w:r w:rsidR="00CB69D0">
        <w:rPr>
          <w:lang w:val="en-US"/>
        </w:rPr>
        <w:t>s</w:t>
      </w:r>
      <w:r w:rsidR="00BC15DB" w:rsidRPr="00965BDB">
        <w:rPr>
          <w:lang w:val="en-US"/>
        </w:rPr>
        <w:t>. It is also shown that the parametric procedures are robust to violation</w:t>
      </w:r>
      <w:r w:rsidR="00CB69D0">
        <w:rPr>
          <w:lang w:val="en-US"/>
        </w:rPr>
        <w:t>s</w:t>
      </w:r>
      <w:r w:rsidR="00BC15DB" w:rsidRPr="00965BDB">
        <w:rPr>
          <w:lang w:val="en-US"/>
        </w:rPr>
        <w:t xml:space="preserve"> of the assumption</w:t>
      </w:r>
      <w:r w:rsidR="002C4B0D">
        <w:rPr>
          <w:lang w:val="en-US"/>
        </w:rPr>
        <w:t xml:space="preserve"> of normality, which </w:t>
      </w:r>
      <w:r w:rsidR="00BC15DB" w:rsidRPr="00965BDB">
        <w:rPr>
          <w:lang w:val="en-US"/>
        </w:rPr>
        <w:t xml:space="preserve">only </w:t>
      </w:r>
      <w:r w:rsidR="002C4B0D">
        <w:rPr>
          <w:lang w:val="en-US"/>
        </w:rPr>
        <w:t>result in a modest</w:t>
      </w:r>
      <w:r w:rsidR="00BC15DB" w:rsidRPr="00965BDB">
        <w:rPr>
          <w:lang w:val="en-US"/>
        </w:rPr>
        <w:t xml:space="preserve"> loss of power compared </w:t>
      </w:r>
      <w:r w:rsidR="002711DF">
        <w:rPr>
          <w:lang w:val="en-US"/>
        </w:rPr>
        <w:t>with</w:t>
      </w:r>
      <w:r w:rsidR="00BC15DB" w:rsidRPr="00965BDB">
        <w:rPr>
          <w:lang w:val="en-US"/>
        </w:rPr>
        <w:t xml:space="preserve"> continuous variable</w:t>
      </w:r>
      <w:r w:rsidR="002711DF">
        <w:rPr>
          <w:lang w:val="en-US"/>
        </w:rPr>
        <w:t>s</w:t>
      </w:r>
      <w:r w:rsidR="00BC15DB" w:rsidRPr="00965BDB">
        <w:rPr>
          <w:lang w:val="en-US"/>
        </w:rPr>
        <w:t xml:space="preserve">. This loss should be </w:t>
      </w:r>
      <w:proofErr w:type="gramStart"/>
      <w:r w:rsidR="00BC15DB" w:rsidRPr="00965BDB">
        <w:rPr>
          <w:lang w:val="en-US"/>
        </w:rPr>
        <w:t>taken into account</w:t>
      </w:r>
      <w:proofErr w:type="gramEnd"/>
      <w:r w:rsidR="00BC15DB" w:rsidRPr="00965BDB">
        <w:rPr>
          <w:lang w:val="en-US"/>
        </w:rPr>
        <w:t xml:space="preserve"> when calculating the optimal sample size. The </w:t>
      </w:r>
      <w:r w:rsidR="0045359A">
        <w:rPr>
          <w:lang w:val="en-US"/>
        </w:rPr>
        <w:t>results suggest that sample sizes about 25% larger should be chosen for</w:t>
      </w:r>
      <w:r w:rsidR="00BC15DB" w:rsidRPr="00965BDB">
        <w:rPr>
          <w:lang w:val="en-US"/>
        </w:rPr>
        <w:t xml:space="preserve"> discrete rating scales </w:t>
      </w:r>
      <w:r w:rsidR="0045359A">
        <w:rPr>
          <w:lang w:val="en-US"/>
        </w:rPr>
        <w:t xml:space="preserve">than for </w:t>
      </w:r>
      <w:r w:rsidR="00BC15DB" w:rsidRPr="00965BDB">
        <w:rPr>
          <w:lang w:val="en-US"/>
        </w:rPr>
        <w:t>continuous variable</w:t>
      </w:r>
      <w:r w:rsidR="0045359A">
        <w:rPr>
          <w:lang w:val="en-US"/>
        </w:rPr>
        <w:t>s</w:t>
      </w:r>
      <w:r w:rsidR="00BC15DB" w:rsidRPr="00965BDB">
        <w:rPr>
          <w:lang w:val="en-US"/>
        </w:rPr>
        <w:t>.</w:t>
      </w:r>
    </w:p>
    <w:p w14:paraId="79FA2622" w14:textId="4E6BC49B" w:rsidR="00BC15DB" w:rsidRPr="00965BDB" w:rsidRDefault="00997B0F" w:rsidP="00DB32D0">
      <w:pPr>
        <w:pStyle w:val="Keywords"/>
        <w:rPr>
          <w:lang w:val="en-US"/>
        </w:rPr>
      </w:pPr>
      <w:r w:rsidRPr="00965BDB">
        <w:rPr>
          <w:b/>
          <w:bCs/>
          <w:lang w:val="en-US"/>
        </w:rPr>
        <w:t>Keywords</w:t>
      </w:r>
      <w:r w:rsidRPr="00965BDB">
        <w:rPr>
          <w:lang w:val="en-US"/>
        </w:rPr>
        <w:t xml:space="preserve">: </w:t>
      </w:r>
      <w:r w:rsidR="00BC15DB" w:rsidRPr="00965BDB">
        <w:rPr>
          <w:lang w:val="en-US"/>
        </w:rPr>
        <w:t xml:space="preserve">Rating scales, </w:t>
      </w:r>
      <w:r w:rsidR="00777ABE">
        <w:rPr>
          <w:lang w:val="en-US"/>
        </w:rPr>
        <w:t xml:space="preserve">ordinal scales, </w:t>
      </w:r>
      <w:r w:rsidR="00BC15DB" w:rsidRPr="00965BDB">
        <w:rPr>
          <w:lang w:val="en-US"/>
        </w:rPr>
        <w:t>parametric methods, non-parametric methods, significance tests.</w:t>
      </w:r>
    </w:p>
    <w:p w14:paraId="3AFF6D38" w14:textId="77777777" w:rsidR="007D6473" w:rsidRPr="00965BDB" w:rsidRDefault="007D6473" w:rsidP="00DB32D0">
      <w:pPr>
        <w:pStyle w:val="Paragraph"/>
        <w:widowControl/>
        <w:rPr>
          <w:rFonts w:cs="Arial"/>
          <w:b/>
          <w:bCs/>
          <w:kern w:val="32"/>
          <w:szCs w:val="32"/>
          <w:lang w:val="en-US"/>
        </w:rPr>
      </w:pPr>
    </w:p>
    <w:p w14:paraId="43E31AB9" w14:textId="60F1E588" w:rsidR="007D6473" w:rsidRPr="00965BDB" w:rsidRDefault="007D6473" w:rsidP="009A7469">
      <w:pPr>
        <w:pStyle w:val="Paragraph"/>
        <w:keepNext/>
        <w:widowControl/>
        <w:outlineLvl w:val="0"/>
        <w:rPr>
          <w:rFonts w:cs="Arial"/>
          <w:b/>
          <w:bCs/>
          <w:kern w:val="32"/>
          <w:szCs w:val="32"/>
          <w:lang w:val="en-US"/>
        </w:rPr>
      </w:pPr>
      <w:r w:rsidRPr="00965BDB">
        <w:rPr>
          <w:rFonts w:cs="Arial"/>
          <w:b/>
          <w:bCs/>
          <w:kern w:val="32"/>
          <w:szCs w:val="32"/>
          <w:lang w:val="en-US"/>
        </w:rPr>
        <w:t>Introduction</w:t>
      </w:r>
    </w:p>
    <w:p w14:paraId="48806796" w14:textId="0D87C547" w:rsidR="007D6473" w:rsidRPr="00965BDB" w:rsidRDefault="001E03F1" w:rsidP="00DB32D0">
      <w:pPr>
        <w:pStyle w:val="Paragraph"/>
        <w:widowControl/>
        <w:rPr>
          <w:lang w:val="en-US"/>
        </w:rPr>
      </w:pPr>
      <w:r>
        <w:rPr>
          <w:lang w:val="en-US"/>
        </w:rPr>
        <w:t>S</w:t>
      </w:r>
      <w:r w:rsidR="007D6473" w:rsidRPr="00965BDB">
        <w:rPr>
          <w:lang w:val="en-US"/>
        </w:rPr>
        <w:t>cientific experiments are conducted to test hypotheses</w:t>
      </w:r>
      <w:r>
        <w:rPr>
          <w:lang w:val="en-US"/>
        </w:rPr>
        <w:t>,</w:t>
      </w:r>
      <w:r w:rsidR="007D6473" w:rsidRPr="00965BDB">
        <w:rPr>
          <w:lang w:val="en-US"/>
        </w:rPr>
        <w:t xml:space="preserve"> or</w:t>
      </w:r>
      <w:r>
        <w:rPr>
          <w:lang w:val="en-US"/>
        </w:rPr>
        <w:t xml:space="preserve"> to</w:t>
      </w:r>
      <w:r w:rsidR="007D6473" w:rsidRPr="00965BDB">
        <w:rPr>
          <w:lang w:val="en-US"/>
        </w:rPr>
        <w:t xml:space="preserve"> explore relationships </w:t>
      </w:r>
      <w:r>
        <w:rPr>
          <w:lang w:val="en-US"/>
        </w:rPr>
        <w:t>and</w:t>
      </w:r>
      <w:r w:rsidR="007D6473" w:rsidRPr="00965BDB">
        <w:rPr>
          <w:lang w:val="en-US"/>
        </w:rPr>
        <w:t xml:space="preserve"> </w:t>
      </w:r>
      <w:r>
        <w:rPr>
          <w:lang w:val="en-US"/>
        </w:rPr>
        <w:t>develop</w:t>
      </w:r>
      <w:r w:rsidRPr="00965BDB">
        <w:rPr>
          <w:lang w:val="en-US"/>
        </w:rPr>
        <w:t xml:space="preserve"> </w:t>
      </w:r>
      <w:r w:rsidR="00DD45BF">
        <w:rPr>
          <w:lang w:val="en-US"/>
        </w:rPr>
        <w:t xml:space="preserve">new </w:t>
      </w:r>
      <w:r w:rsidR="007D6473" w:rsidRPr="00965BDB">
        <w:rPr>
          <w:lang w:val="en-US"/>
        </w:rPr>
        <w:t xml:space="preserve">hypotheses. </w:t>
      </w:r>
      <w:r>
        <w:rPr>
          <w:lang w:val="en-US"/>
        </w:rPr>
        <w:t>T</w:t>
      </w:r>
      <w:r w:rsidR="007D6473" w:rsidRPr="00965BDB">
        <w:rPr>
          <w:lang w:val="en-US"/>
        </w:rPr>
        <w:t xml:space="preserve">he researcher manipulates one or more independent variables to see how they affect one or more dependent variables. </w:t>
      </w:r>
      <w:r w:rsidR="00817B0F">
        <w:rPr>
          <w:lang w:val="en-US"/>
        </w:rPr>
        <w:t>Statistical techniques are used to carry out a</w:t>
      </w:r>
      <w:r w:rsidR="007D6473" w:rsidRPr="00965BDB">
        <w:rPr>
          <w:lang w:val="en-US"/>
        </w:rPr>
        <w:t xml:space="preserve"> test of significance. </w:t>
      </w:r>
      <w:r w:rsidR="00260580">
        <w:rPr>
          <w:lang w:val="en-US"/>
        </w:rPr>
        <w:t>S</w:t>
      </w:r>
      <w:r w:rsidR="007D6473" w:rsidRPr="00965BDB">
        <w:rPr>
          <w:lang w:val="en-US"/>
        </w:rPr>
        <w:t xml:space="preserve">cientific experiments are based on precise rules, and significance tests are </w:t>
      </w:r>
      <w:r w:rsidR="00791D8D">
        <w:rPr>
          <w:lang w:val="en-US"/>
        </w:rPr>
        <w:t>performed</w:t>
      </w:r>
      <w:r w:rsidR="007D6473" w:rsidRPr="00965BDB">
        <w:rPr>
          <w:lang w:val="en-US"/>
        </w:rPr>
        <w:t xml:space="preserve"> using the most appropriate statistical procedures to ensure that the results are as valid and replicable as possible. </w:t>
      </w:r>
    </w:p>
    <w:p w14:paraId="0112CB53" w14:textId="62EF2C81" w:rsidR="007D6473" w:rsidRPr="00965BDB" w:rsidRDefault="007D6473" w:rsidP="00DB32D0">
      <w:pPr>
        <w:pStyle w:val="Paragraph"/>
        <w:widowControl/>
        <w:ind w:firstLine="709"/>
        <w:rPr>
          <w:lang w:val="en-US"/>
        </w:rPr>
      </w:pPr>
      <w:r w:rsidRPr="00965BDB">
        <w:rPr>
          <w:lang w:val="en-US"/>
        </w:rPr>
        <w:t xml:space="preserve">This fact applies in principle to all scientific disciplines. In </w:t>
      </w:r>
      <w:r w:rsidR="00683520">
        <w:rPr>
          <w:lang w:val="en-US"/>
        </w:rPr>
        <w:t>many</w:t>
      </w:r>
      <w:r w:rsidRPr="00965BDB">
        <w:rPr>
          <w:lang w:val="en-US"/>
        </w:rPr>
        <w:t xml:space="preserve"> cases, the focus is on humans. It is in the nature of things that many interesting facts cannot be measured directly, but must be captured through so-called latent constructs. Various personality traits, trust, </w:t>
      </w:r>
      <w:r w:rsidR="0073364A">
        <w:rPr>
          <w:lang w:val="en-US"/>
        </w:rPr>
        <w:t xml:space="preserve">and </w:t>
      </w:r>
      <w:r w:rsidRPr="00965BDB">
        <w:rPr>
          <w:lang w:val="en-US"/>
        </w:rPr>
        <w:t xml:space="preserve">attitudes are examples of </w:t>
      </w:r>
      <w:r w:rsidR="0073364A">
        <w:rPr>
          <w:lang w:val="en-US"/>
        </w:rPr>
        <w:t>latent</w:t>
      </w:r>
      <w:r w:rsidR="0073364A" w:rsidRPr="00965BDB">
        <w:rPr>
          <w:lang w:val="en-US"/>
        </w:rPr>
        <w:t xml:space="preserve"> </w:t>
      </w:r>
      <w:r w:rsidRPr="00965BDB">
        <w:rPr>
          <w:lang w:val="en-US"/>
        </w:rPr>
        <w:t>constructs</w:t>
      </w:r>
      <w:r w:rsidR="0073364A">
        <w:rPr>
          <w:lang w:val="en-US"/>
        </w:rPr>
        <w:t xml:space="preserve"> that</w:t>
      </w:r>
      <w:r w:rsidRPr="00965BDB">
        <w:rPr>
          <w:lang w:val="en-US"/>
        </w:rPr>
        <w:t xml:space="preserve"> are of </w:t>
      </w:r>
      <w:r w:rsidRPr="00965BDB">
        <w:rPr>
          <w:lang w:val="en-US"/>
        </w:rPr>
        <w:lastRenderedPageBreak/>
        <w:t xml:space="preserve">particular interest in the social and economic sciences. Mental illness is recorded in a similar </w:t>
      </w:r>
      <w:r w:rsidR="006671B8">
        <w:rPr>
          <w:lang w:val="en-US"/>
        </w:rPr>
        <w:t>manner</w:t>
      </w:r>
      <w:r w:rsidR="004A11CA">
        <w:rPr>
          <w:lang w:val="en-US"/>
        </w:rPr>
        <w:t>, using frameworks such as</w:t>
      </w:r>
      <w:r w:rsidRPr="00965BDB">
        <w:rPr>
          <w:lang w:val="en-US"/>
        </w:rPr>
        <w:t xml:space="preserve"> the American Psychiatric Association</w:t>
      </w:r>
      <w:r w:rsidR="00A07E8A">
        <w:rPr>
          <w:lang w:val="en-US"/>
        </w:rPr>
        <w:t>’</w:t>
      </w:r>
      <w:r w:rsidRPr="00965BDB">
        <w:rPr>
          <w:lang w:val="en-US"/>
        </w:rPr>
        <w:t>s Diagnostic and Statistical Manual of Mental Disorders (DSM) and the World Health Organi</w:t>
      </w:r>
      <w:r w:rsidR="00DE2876">
        <w:rPr>
          <w:lang w:val="en-US"/>
        </w:rPr>
        <w:t>z</w:t>
      </w:r>
      <w:r w:rsidRPr="00965BDB">
        <w:rPr>
          <w:lang w:val="en-US"/>
        </w:rPr>
        <w:t>ation</w:t>
      </w:r>
      <w:r w:rsidR="00A07E8A">
        <w:rPr>
          <w:lang w:val="en-US"/>
        </w:rPr>
        <w:t>’</w:t>
      </w:r>
      <w:r w:rsidRPr="00965BDB">
        <w:rPr>
          <w:lang w:val="en-US"/>
        </w:rPr>
        <w:t xml:space="preserve">s International Statistical Classification of Diseases and Related Health Problems (ICD). </w:t>
      </w:r>
    </w:p>
    <w:p w14:paraId="490EDCDC" w14:textId="43784FA2" w:rsidR="007D6473" w:rsidRPr="00965BDB" w:rsidRDefault="007D6473" w:rsidP="00DB32D0">
      <w:pPr>
        <w:pStyle w:val="Paragraph"/>
        <w:widowControl/>
        <w:ind w:firstLine="709"/>
        <w:rPr>
          <w:lang w:val="en-US"/>
        </w:rPr>
      </w:pPr>
      <w:r w:rsidRPr="00965BDB">
        <w:rPr>
          <w:lang w:val="en-US"/>
        </w:rPr>
        <w:t xml:space="preserve">Typically, these constructs are measured using discrete rating scales, usually of 5, 6 or 7 items. It is common to use not just one question to measure a latent construct, but a set of validated questions for which the latent construct is responsible. In such a case we speak of a measurement model consisting of </w:t>
      </w:r>
      <w:r w:rsidR="003E4DBC">
        <w:rPr>
          <w:lang w:val="en-US"/>
        </w:rPr>
        <w:t>multiple</w:t>
      </w:r>
      <w:r w:rsidR="003E4DBC" w:rsidRPr="00965BDB">
        <w:rPr>
          <w:lang w:val="en-US"/>
        </w:rPr>
        <w:t xml:space="preserve"> </w:t>
      </w:r>
      <w:r w:rsidRPr="00965BDB">
        <w:rPr>
          <w:lang w:val="en-US"/>
        </w:rPr>
        <w:t xml:space="preserve">indicator questions. </w:t>
      </w:r>
      <w:r w:rsidR="008D72D9">
        <w:rPr>
          <w:lang w:val="en-US"/>
        </w:rPr>
        <w:t>T</w:t>
      </w:r>
      <w:r w:rsidRPr="00965BDB">
        <w:rPr>
          <w:lang w:val="en-US"/>
        </w:rPr>
        <w:t xml:space="preserve">o obtain </w:t>
      </w:r>
      <w:r w:rsidR="00E507B8">
        <w:rPr>
          <w:lang w:val="en-US"/>
        </w:rPr>
        <w:t>a</w:t>
      </w:r>
      <w:r w:rsidR="00E507B8" w:rsidRPr="00965BDB">
        <w:rPr>
          <w:lang w:val="en-US"/>
        </w:rPr>
        <w:t xml:space="preserve"> </w:t>
      </w:r>
      <w:r w:rsidRPr="00965BDB">
        <w:rPr>
          <w:lang w:val="en-US"/>
        </w:rPr>
        <w:t xml:space="preserve">concrete expression of </w:t>
      </w:r>
      <w:r w:rsidR="00D95045">
        <w:rPr>
          <w:lang w:val="en-US"/>
        </w:rPr>
        <w:t>a</w:t>
      </w:r>
      <w:r w:rsidRPr="00965BDB">
        <w:rPr>
          <w:lang w:val="en-US"/>
        </w:rPr>
        <w:t xml:space="preserve"> construct, an overall mean value is usually formed over all </w:t>
      </w:r>
      <w:r w:rsidR="00887BFB">
        <w:rPr>
          <w:lang w:val="en-US"/>
        </w:rPr>
        <w:t xml:space="preserve">these </w:t>
      </w:r>
      <w:r w:rsidRPr="00965BDB">
        <w:rPr>
          <w:lang w:val="en-US"/>
        </w:rPr>
        <w:t xml:space="preserve">indicator questions. However, it is also possible to measure some latent constructs using only </w:t>
      </w:r>
      <w:r w:rsidR="00887BFB">
        <w:rPr>
          <w:lang w:val="en-US"/>
        </w:rPr>
        <w:t>a single</w:t>
      </w:r>
      <w:r w:rsidR="00887BFB" w:rsidRPr="00965BDB">
        <w:rPr>
          <w:lang w:val="en-US"/>
        </w:rPr>
        <w:t xml:space="preserve"> </w:t>
      </w:r>
      <w:r w:rsidRPr="00965BDB">
        <w:rPr>
          <w:lang w:val="en-US"/>
        </w:rPr>
        <w:t>indicator question. This is referred to as the single-item</w:t>
      </w:r>
      <w:r w:rsidR="00F71B4D">
        <w:rPr>
          <w:lang w:val="en-US"/>
        </w:rPr>
        <w:t xml:space="preserve"> </w:t>
      </w:r>
      <w:r w:rsidRPr="00965BDB">
        <w:rPr>
          <w:lang w:val="en-US"/>
        </w:rPr>
        <w:t xml:space="preserve">measure approach (Christophersen and Konradt 2011; Fuchs and Diamantopoulos 2009; </w:t>
      </w:r>
      <w:proofErr w:type="spellStart"/>
      <w:r w:rsidRPr="00965BDB">
        <w:rPr>
          <w:lang w:val="en-US"/>
        </w:rPr>
        <w:t>Postmes</w:t>
      </w:r>
      <w:proofErr w:type="spellEnd"/>
      <w:r w:rsidRPr="00965BDB">
        <w:rPr>
          <w:lang w:val="en-US"/>
        </w:rPr>
        <w:t xml:space="preserve"> et al. 2013; Wanous et al. 1997; Hoeppner et al. 2011). Whether a single-item</w:t>
      </w:r>
      <w:r w:rsidR="009B2C9F">
        <w:rPr>
          <w:lang w:val="en-US"/>
        </w:rPr>
        <w:t xml:space="preserve"> </w:t>
      </w:r>
      <w:r w:rsidRPr="00965BDB">
        <w:rPr>
          <w:lang w:val="en-US"/>
        </w:rPr>
        <w:t>measure approach is sufficient or whether a validated measurement model is required is always a matter of debate</w:t>
      </w:r>
      <w:r w:rsidR="009B2C9F">
        <w:rPr>
          <w:lang w:val="en-US"/>
        </w:rPr>
        <w:t>—</w:t>
      </w:r>
      <w:r w:rsidRPr="00965BDB">
        <w:rPr>
          <w:lang w:val="en-US"/>
        </w:rPr>
        <w:t>for an overview see, for example, Malhotra et al. (2012)</w:t>
      </w:r>
      <w:r w:rsidR="00504447">
        <w:rPr>
          <w:lang w:val="en-US"/>
        </w:rPr>
        <w:t>—</w:t>
      </w:r>
      <w:r w:rsidRPr="00965BDB">
        <w:rPr>
          <w:lang w:val="en-US"/>
        </w:rPr>
        <w:t>but the crucial question is which mathematical</w:t>
      </w:r>
      <w:r w:rsidR="00661D1D">
        <w:rPr>
          <w:lang w:val="en-US"/>
        </w:rPr>
        <w:t xml:space="preserve"> and </w:t>
      </w:r>
      <w:r w:rsidRPr="00965BDB">
        <w:rPr>
          <w:lang w:val="en-US"/>
        </w:rPr>
        <w:t xml:space="preserve">statistical procedures can be used to evaluate measurement models or </w:t>
      </w:r>
      <w:r w:rsidR="00AE3034">
        <w:rPr>
          <w:lang w:val="en-US"/>
        </w:rPr>
        <w:t>single-item measures</w:t>
      </w:r>
      <w:r w:rsidRPr="00965BDB">
        <w:rPr>
          <w:lang w:val="en-US"/>
        </w:rPr>
        <w:t>. In principle, the answer to this question depends on the scale level, and higher</w:t>
      </w:r>
      <w:r w:rsidR="007A5161">
        <w:rPr>
          <w:lang w:val="en-US"/>
        </w:rPr>
        <w:t>-</w:t>
      </w:r>
      <w:r w:rsidRPr="00965BDB">
        <w:rPr>
          <w:lang w:val="en-US"/>
        </w:rPr>
        <w:t xml:space="preserve">quality procedures can be used for a metric level than for an ordinal or nominal level. The question then arises as to whether rating scales </w:t>
      </w:r>
      <w:r w:rsidR="003918C5">
        <w:rPr>
          <w:lang w:val="en-US"/>
        </w:rPr>
        <w:t>should be treated</w:t>
      </w:r>
      <w:r w:rsidRPr="00965BDB">
        <w:rPr>
          <w:lang w:val="en-US"/>
        </w:rPr>
        <w:t xml:space="preserve"> as interval or ordinal scales. </w:t>
      </w:r>
    </w:p>
    <w:p w14:paraId="5A3BB61E" w14:textId="70DE5D64" w:rsidR="007D6473" w:rsidRPr="00965BDB" w:rsidRDefault="007D6473" w:rsidP="00DB32D0">
      <w:pPr>
        <w:pStyle w:val="Paragraph"/>
        <w:widowControl/>
        <w:ind w:firstLine="709"/>
        <w:rPr>
          <w:lang w:val="en-US"/>
        </w:rPr>
      </w:pPr>
      <w:r w:rsidRPr="00965BDB">
        <w:rPr>
          <w:lang w:val="en-US"/>
        </w:rPr>
        <w:t xml:space="preserve">First, there is the liberal position that rating scales can be </w:t>
      </w:r>
      <w:r w:rsidR="00081978">
        <w:rPr>
          <w:lang w:val="en-US"/>
        </w:rPr>
        <w:t>regarded as</w:t>
      </w:r>
      <w:r w:rsidR="00081978" w:rsidRPr="00965BDB">
        <w:rPr>
          <w:lang w:val="en-US"/>
        </w:rPr>
        <w:t xml:space="preserve"> </w:t>
      </w:r>
      <w:r w:rsidRPr="00965BDB">
        <w:rPr>
          <w:lang w:val="en-US"/>
        </w:rPr>
        <w:t xml:space="preserve">interval </w:t>
      </w:r>
      <w:r w:rsidR="003918C5" w:rsidRPr="00965BDB">
        <w:rPr>
          <w:lang w:val="en-US"/>
        </w:rPr>
        <w:t>scale</w:t>
      </w:r>
      <w:r w:rsidR="003918C5">
        <w:rPr>
          <w:lang w:val="en-US"/>
        </w:rPr>
        <w:t>s</w:t>
      </w:r>
      <w:r w:rsidR="003918C5" w:rsidRPr="00965BDB">
        <w:rPr>
          <w:lang w:val="en-US"/>
        </w:rPr>
        <w:t xml:space="preserve"> </w:t>
      </w:r>
      <w:r w:rsidRPr="00965BDB">
        <w:rPr>
          <w:lang w:val="en-US"/>
        </w:rPr>
        <w:t xml:space="preserve">and thus parametric tests </w:t>
      </w:r>
      <w:r w:rsidR="00804298">
        <w:rPr>
          <w:lang w:val="en-US"/>
        </w:rPr>
        <w:t>should</w:t>
      </w:r>
      <w:r w:rsidR="00804298" w:rsidRPr="00965BDB">
        <w:rPr>
          <w:lang w:val="en-US"/>
        </w:rPr>
        <w:t xml:space="preserve"> </w:t>
      </w:r>
      <w:r w:rsidRPr="00965BDB">
        <w:rPr>
          <w:lang w:val="en-US"/>
        </w:rPr>
        <w:t xml:space="preserve">be used, mainly because they have higher power than non-parametric alternatives. </w:t>
      </w:r>
      <w:r w:rsidR="00804298">
        <w:rPr>
          <w:lang w:val="en-US"/>
        </w:rPr>
        <w:t>Th</w:t>
      </w:r>
      <w:r w:rsidR="00EF6A22">
        <w:rPr>
          <w:lang w:val="en-US"/>
        </w:rPr>
        <w:t>at is,</w:t>
      </w:r>
      <w:r w:rsidRPr="00965BDB">
        <w:rPr>
          <w:lang w:val="en-US"/>
        </w:rPr>
        <w:t xml:space="preserve"> an effect, if it exists, is more likely to be </w:t>
      </w:r>
      <w:r w:rsidRPr="00965BDB">
        <w:rPr>
          <w:lang w:val="en-US"/>
        </w:rPr>
        <w:lastRenderedPageBreak/>
        <w:t xml:space="preserve">detected. </w:t>
      </w:r>
      <w:r w:rsidR="00EF6A22">
        <w:rPr>
          <w:lang w:val="en-US"/>
        </w:rPr>
        <w:t>If rating scales are treated as ordinal</w:t>
      </w:r>
      <w:r w:rsidRPr="00965BDB">
        <w:rPr>
          <w:lang w:val="en-US"/>
        </w:rPr>
        <w:t xml:space="preserve">, then a larger sample is needed to find the same effect with the same probability. </w:t>
      </w:r>
    </w:p>
    <w:p w14:paraId="3FC68C2B" w14:textId="4079C3BA" w:rsidR="007D6473" w:rsidRPr="00965BDB" w:rsidRDefault="007D6473" w:rsidP="009A7469">
      <w:pPr>
        <w:pStyle w:val="Paragraph"/>
        <w:widowControl/>
        <w:ind w:firstLine="709"/>
        <w:rPr>
          <w:lang w:val="en-US"/>
        </w:rPr>
      </w:pPr>
      <w:r w:rsidRPr="00965BDB">
        <w:rPr>
          <w:lang w:val="en-US"/>
        </w:rPr>
        <w:t xml:space="preserve">Proponents of the position that rating scales can be considered interval </w:t>
      </w:r>
      <w:r w:rsidR="00455CEC" w:rsidRPr="00965BDB">
        <w:rPr>
          <w:lang w:val="en-US"/>
        </w:rPr>
        <w:t>scale</w:t>
      </w:r>
      <w:r w:rsidR="00455CEC">
        <w:rPr>
          <w:lang w:val="en-US"/>
        </w:rPr>
        <w:t>s</w:t>
      </w:r>
      <w:r w:rsidR="00455CEC" w:rsidRPr="00965BDB">
        <w:rPr>
          <w:lang w:val="en-US"/>
        </w:rPr>
        <w:t xml:space="preserve"> </w:t>
      </w:r>
      <w:r w:rsidRPr="00965BDB">
        <w:rPr>
          <w:lang w:val="en-US"/>
        </w:rPr>
        <w:t xml:space="preserve">include </w:t>
      </w:r>
      <w:proofErr w:type="spellStart"/>
      <w:r w:rsidRPr="00965BDB">
        <w:rPr>
          <w:lang w:val="en-US"/>
        </w:rPr>
        <w:t>Streiner</w:t>
      </w:r>
      <w:proofErr w:type="spellEnd"/>
      <w:r w:rsidRPr="00965BDB">
        <w:rPr>
          <w:lang w:val="en-US"/>
        </w:rPr>
        <w:t xml:space="preserve"> et al. (2016)</w:t>
      </w:r>
      <w:r w:rsidR="005D54D8">
        <w:rPr>
          <w:lang w:val="en-US"/>
        </w:rPr>
        <w:t xml:space="preserve"> and</w:t>
      </w:r>
      <w:r w:rsidRPr="00965BDB">
        <w:rPr>
          <w:lang w:val="en-US"/>
        </w:rPr>
        <w:t xml:space="preserve"> Norman (2010). Others argue that there must be at least one measurement model based on rating scales for parametric procedures to be applied. </w:t>
      </w:r>
      <w:r w:rsidR="00C615AC">
        <w:rPr>
          <w:lang w:val="en-US"/>
        </w:rPr>
        <w:t>Under this view</w:t>
      </w:r>
      <w:r w:rsidRPr="00965BDB">
        <w:rPr>
          <w:lang w:val="en-US"/>
        </w:rPr>
        <w:t>, the single-</w:t>
      </w:r>
      <w:r w:rsidR="00CE2EDE">
        <w:rPr>
          <w:lang w:val="en-US"/>
        </w:rPr>
        <w:t xml:space="preserve">item </w:t>
      </w:r>
      <w:r w:rsidRPr="00965BDB">
        <w:rPr>
          <w:lang w:val="en-US"/>
        </w:rPr>
        <w:t>measure approach mentioned above would not be sufficient (e.g.</w:t>
      </w:r>
      <w:r w:rsidR="005D54D8">
        <w:rPr>
          <w:lang w:val="en-US"/>
        </w:rPr>
        <w:t>,</w:t>
      </w:r>
      <w:r w:rsidRPr="00965BDB">
        <w:rPr>
          <w:lang w:val="en-US"/>
        </w:rPr>
        <w:t xml:space="preserve"> </w:t>
      </w:r>
      <w:proofErr w:type="spellStart"/>
      <w:r w:rsidRPr="00965BDB">
        <w:rPr>
          <w:lang w:val="en-US"/>
        </w:rPr>
        <w:t>Carifio</w:t>
      </w:r>
      <w:proofErr w:type="spellEnd"/>
      <w:r w:rsidRPr="00965BDB">
        <w:rPr>
          <w:lang w:val="en-US"/>
        </w:rPr>
        <w:t xml:space="preserve"> and Perla 2007; Boone and Boone 2012; Allen and Seaman 2007). A look at common research practice shows that rating scales are usually </w:t>
      </w:r>
      <w:r w:rsidR="009B0DFC">
        <w:rPr>
          <w:lang w:val="en-US"/>
        </w:rPr>
        <w:t>regarded</w:t>
      </w:r>
      <w:r w:rsidR="009B0DFC" w:rsidRPr="00965BDB">
        <w:rPr>
          <w:lang w:val="en-US"/>
        </w:rPr>
        <w:t xml:space="preserve"> </w:t>
      </w:r>
      <w:r w:rsidRPr="00965BDB">
        <w:rPr>
          <w:lang w:val="en-US"/>
        </w:rPr>
        <w:t>as interval scales (Sugawara 2019</w:t>
      </w:r>
      <w:r w:rsidR="007937B9">
        <w:rPr>
          <w:lang w:val="en-US"/>
        </w:rPr>
        <w:t>;</w:t>
      </w:r>
      <w:r w:rsidRPr="00965BDB">
        <w:rPr>
          <w:lang w:val="en-US"/>
        </w:rPr>
        <w:t xml:space="preserve"> Diener 2010</w:t>
      </w:r>
      <w:r w:rsidR="007937B9">
        <w:rPr>
          <w:lang w:val="en-US"/>
        </w:rPr>
        <w:t>;</w:t>
      </w:r>
      <w:r w:rsidRPr="00965BDB">
        <w:rPr>
          <w:lang w:val="en-US"/>
        </w:rPr>
        <w:t xml:space="preserve"> Burger 2020</w:t>
      </w:r>
      <w:r w:rsidR="007937B9">
        <w:rPr>
          <w:lang w:val="en-US"/>
        </w:rPr>
        <w:t>;</w:t>
      </w:r>
      <w:r w:rsidRPr="00965BDB">
        <w:rPr>
          <w:lang w:val="en-US"/>
        </w:rPr>
        <w:t xml:space="preserve"> </w:t>
      </w:r>
      <w:proofErr w:type="spellStart"/>
      <w:r w:rsidRPr="00965BDB">
        <w:rPr>
          <w:lang w:val="en-US"/>
        </w:rPr>
        <w:t>Krivoy</w:t>
      </w:r>
      <w:proofErr w:type="spellEnd"/>
      <w:r w:rsidRPr="00965BDB">
        <w:rPr>
          <w:lang w:val="en-US"/>
        </w:rPr>
        <w:t xml:space="preserve"> 2017</w:t>
      </w:r>
      <w:r w:rsidR="007937B9">
        <w:rPr>
          <w:lang w:val="en-US"/>
        </w:rPr>
        <w:t>;</w:t>
      </w:r>
      <w:r w:rsidRPr="00965BDB">
        <w:rPr>
          <w:lang w:val="en-US"/>
        </w:rPr>
        <w:t xml:space="preserve"> Keng 2017</w:t>
      </w:r>
      <w:r w:rsidR="007937B9">
        <w:rPr>
          <w:lang w:val="en-US"/>
        </w:rPr>
        <w:t>;</w:t>
      </w:r>
      <w:r w:rsidRPr="00965BDB">
        <w:rPr>
          <w:lang w:val="en-US"/>
        </w:rPr>
        <w:t xml:space="preserve"> </w:t>
      </w:r>
      <w:proofErr w:type="spellStart"/>
      <w:r w:rsidRPr="00965BDB">
        <w:rPr>
          <w:lang w:val="en-US"/>
        </w:rPr>
        <w:t>Mordeno</w:t>
      </w:r>
      <w:proofErr w:type="spellEnd"/>
      <w:r w:rsidRPr="00965BDB">
        <w:rPr>
          <w:lang w:val="en-US"/>
        </w:rPr>
        <w:t xml:space="preserve"> 2019</w:t>
      </w:r>
      <w:r w:rsidR="007937B9">
        <w:rPr>
          <w:lang w:val="en-US"/>
        </w:rPr>
        <w:t>;</w:t>
      </w:r>
      <w:r w:rsidRPr="00965BDB">
        <w:rPr>
          <w:lang w:val="en-US"/>
        </w:rPr>
        <w:t xml:space="preserve"> González-Cabrera 2020). </w:t>
      </w:r>
      <w:r w:rsidR="001F2391">
        <w:rPr>
          <w:lang w:val="en-US"/>
        </w:rPr>
        <w:t>The</w:t>
      </w:r>
      <w:r w:rsidR="001F2391" w:rsidRPr="00965BDB">
        <w:rPr>
          <w:lang w:val="en-US"/>
        </w:rPr>
        <w:t xml:space="preserve"> </w:t>
      </w:r>
      <w:r w:rsidR="001F2391">
        <w:rPr>
          <w:lang w:val="en-US"/>
        </w:rPr>
        <w:t>diametrically</w:t>
      </w:r>
      <w:r w:rsidR="001F2391" w:rsidRPr="00965BDB">
        <w:rPr>
          <w:lang w:val="en-US"/>
        </w:rPr>
        <w:t xml:space="preserve"> </w:t>
      </w:r>
      <w:r w:rsidRPr="00965BDB">
        <w:rPr>
          <w:lang w:val="en-US"/>
        </w:rPr>
        <w:t>opposite view is that treating inherently ordinally scaled data as interval data leads to misleading results and should therefore be rejected (e.g.</w:t>
      </w:r>
      <w:r w:rsidR="00FC1BD3">
        <w:rPr>
          <w:lang w:val="en-US"/>
        </w:rPr>
        <w:t>,</w:t>
      </w:r>
      <w:r w:rsidRPr="00965BDB">
        <w:rPr>
          <w:lang w:val="en-US"/>
        </w:rPr>
        <w:t xml:space="preserve"> Jamieson 2004; Allen and Seaman 2007).</w:t>
      </w:r>
    </w:p>
    <w:p w14:paraId="3EFC1D58" w14:textId="15FD584A" w:rsidR="007D6473" w:rsidRPr="00965BDB" w:rsidRDefault="007D6473" w:rsidP="00DB32D0">
      <w:pPr>
        <w:pStyle w:val="Paragraph"/>
        <w:widowControl/>
        <w:ind w:firstLine="709"/>
        <w:rPr>
          <w:lang w:val="en-US"/>
        </w:rPr>
      </w:pPr>
      <w:r w:rsidRPr="00965BDB">
        <w:rPr>
          <w:lang w:val="en-US"/>
        </w:rPr>
        <w:t xml:space="preserve">Another </w:t>
      </w:r>
      <w:r w:rsidR="00BF1FC3">
        <w:rPr>
          <w:lang w:val="en-US"/>
        </w:rPr>
        <w:t>important</w:t>
      </w:r>
      <w:r w:rsidR="00BF1FC3" w:rsidRPr="00965BDB">
        <w:rPr>
          <w:lang w:val="en-US"/>
        </w:rPr>
        <w:t xml:space="preserve"> </w:t>
      </w:r>
      <w:r w:rsidR="00BF1FC3">
        <w:rPr>
          <w:lang w:val="en-US"/>
        </w:rPr>
        <w:t>requirement for parametric methods to be applied</w:t>
      </w:r>
      <w:r w:rsidRPr="00965BDB">
        <w:rPr>
          <w:lang w:val="en-US"/>
        </w:rPr>
        <w:t xml:space="preserve"> is th</w:t>
      </w:r>
      <w:r w:rsidR="00BF1FC3">
        <w:rPr>
          <w:lang w:val="en-US"/>
        </w:rPr>
        <w:t>at</w:t>
      </w:r>
      <w:r w:rsidR="00C52275">
        <w:rPr>
          <w:lang w:val="en-US"/>
        </w:rPr>
        <w:t xml:space="preserve"> the variable must be</w:t>
      </w:r>
      <w:r w:rsidRPr="00965BDB">
        <w:rPr>
          <w:lang w:val="en-US"/>
        </w:rPr>
        <w:t xml:space="preserve"> sufficiently</w:t>
      </w:r>
      <w:r w:rsidR="00C52275">
        <w:rPr>
          <w:lang w:val="en-US"/>
        </w:rPr>
        <w:t xml:space="preserve"> close to</w:t>
      </w:r>
      <w:r w:rsidRPr="00965BDB">
        <w:rPr>
          <w:lang w:val="en-US"/>
        </w:rPr>
        <w:t xml:space="preserve"> normally distributed (e.g.</w:t>
      </w:r>
      <w:r w:rsidR="002B248C">
        <w:rPr>
          <w:lang w:val="en-US"/>
        </w:rPr>
        <w:t>,</w:t>
      </w:r>
      <w:r w:rsidRPr="00965BDB">
        <w:rPr>
          <w:lang w:val="en-US"/>
        </w:rPr>
        <w:t xml:space="preserve"> </w:t>
      </w:r>
      <w:proofErr w:type="spellStart"/>
      <w:r w:rsidRPr="00965BDB">
        <w:rPr>
          <w:lang w:val="en-US"/>
        </w:rPr>
        <w:t>Bühner</w:t>
      </w:r>
      <w:proofErr w:type="spellEnd"/>
      <w:r w:rsidRPr="00965BDB">
        <w:rPr>
          <w:lang w:val="en-US"/>
        </w:rPr>
        <w:t xml:space="preserve"> </w:t>
      </w:r>
      <w:r w:rsidR="00C52275">
        <w:rPr>
          <w:lang w:val="en-US"/>
        </w:rPr>
        <w:t>and</w:t>
      </w:r>
      <w:r w:rsidR="00C52275" w:rsidRPr="00965BDB">
        <w:rPr>
          <w:lang w:val="en-US"/>
        </w:rPr>
        <w:t xml:space="preserve"> </w:t>
      </w:r>
      <w:r w:rsidRPr="00965BDB">
        <w:rPr>
          <w:lang w:val="en-US"/>
        </w:rPr>
        <w:t xml:space="preserve">Ziegler 2009). However, since means of </w:t>
      </w:r>
      <w:r w:rsidR="009252FA">
        <w:rPr>
          <w:lang w:val="en-US"/>
        </w:rPr>
        <w:t>a</w:t>
      </w:r>
      <w:r w:rsidR="009252FA" w:rsidRPr="00965BDB">
        <w:rPr>
          <w:lang w:val="en-US"/>
        </w:rPr>
        <w:t xml:space="preserve"> </w:t>
      </w:r>
      <w:r w:rsidRPr="00965BDB">
        <w:rPr>
          <w:lang w:val="en-US"/>
        </w:rPr>
        <w:t>dependent variable calculated using different samples of sufficient size are normally distributed, and this is independent of how the population is distributed, this requirement is fulfilled for sufficiently large samples (</w:t>
      </w:r>
      <w:proofErr w:type="spellStart"/>
      <w:r w:rsidRPr="00965BDB">
        <w:rPr>
          <w:lang w:val="en-US"/>
        </w:rPr>
        <w:t>Streiner</w:t>
      </w:r>
      <w:proofErr w:type="spellEnd"/>
      <w:r w:rsidRPr="00965BDB">
        <w:rPr>
          <w:lang w:val="en-US"/>
        </w:rPr>
        <w:t xml:space="preserve"> et al. 2016). With reference to the central limit theorem, we suggest n</w:t>
      </w:r>
      <w:r w:rsidR="004E72FA">
        <w:rPr>
          <w:lang w:val="en-US"/>
        </w:rPr>
        <w:t> </w:t>
      </w:r>
      <w:r w:rsidRPr="00965BDB">
        <w:rPr>
          <w:lang w:val="en-US"/>
        </w:rPr>
        <w:t>&gt;=</w:t>
      </w:r>
      <w:r w:rsidR="004E72FA">
        <w:rPr>
          <w:lang w:val="en-US"/>
        </w:rPr>
        <w:t> </w:t>
      </w:r>
      <w:r w:rsidRPr="00965BDB">
        <w:rPr>
          <w:lang w:val="en-US"/>
        </w:rPr>
        <w:t>30 as a sufficient sample size (Bortz and Schuster 2011; Döring and Bortz 2016).</w:t>
      </w:r>
      <w:r w:rsidR="00304296">
        <w:rPr>
          <w:lang w:val="en-US"/>
        </w:rPr>
        <w:t xml:space="preserve"> </w:t>
      </w:r>
      <w:r w:rsidRPr="00965BDB">
        <w:rPr>
          <w:lang w:val="en-US"/>
        </w:rPr>
        <w:t xml:space="preserve">The problem is further mitigated when rating scales are used, </w:t>
      </w:r>
      <w:r w:rsidR="00304296">
        <w:rPr>
          <w:lang w:val="en-US"/>
        </w:rPr>
        <w:t>since</w:t>
      </w:r>
      <w:r w:rsidRPr="00965BDB">
        <w:rPr>
          <w:lang w:val="en-US"/>
        </w:rPr>
        <w:t xml:space="preserve"> outliers cannot </w:t>
      </w:r>
      <w:r w:rsidR="00991868">
        <w:rPr>
          <w:lang w:val="en-US"/>
        </w:rPr>
        <w:t xml:space="preserve">generally </w:t>
      </w:r>
      <w:r w:rsidRPr="00965BDB">
        <w:rPr>
          <w:lang w:val="en-US"/>
        </w:rPr>
        <w:t xml:space="preserve">occur due to </w:t>
      </w:r>
      <w:r w:rsidR="00D858BF">
        <w:rPr>
          <w:lang w:val="en-US"/>
        </w:rPr>
        <w:t>the restricted</w:t>
      </w:r>
      <w:r w:rsidRPr="00965BDB">
        <w:rPr>
          <w:lang w:val="en-US"/>
        </w:rPr>
        <w:t xml:space="preserve"> </w:t>
      </w:r>
      <w:r w:rsidR="00991868">
        <w:rPr>
          <w:lang w:val="en-US"/>
        </w:rPr>
        <w:t xml:space="preserve">set of </w:t>
      </w:r>
      <w:r w:rsidR="00CD6ACB">
        <w:rPr>
          <w:lang w:val="en-US"/>
        </w:rPr>
        <w:t xml:space="preserve">allowed </w:t>
      </w:r>
      <w:r w:rsidRPr="00965BDB">
        <w:rPr>
          <w:lang w:val="en-US"/>
        </w:rPr>
        <w:t>response</w:t>
      </w:r>
      <w:r w:rsidR="00CD6ACB">
        <w:rPr>
          <w:lang w:val="en-US"/>
        </w:rPr>
        <w:t>s</w:t>
      </w:r>
      <w:r w:rsidRPr="00965BDB">
        <w:rPr>
          <w:lang w:val="en-US"/>
        </w:rPr>
        <w:t>.</w:t>
      </w:r>
    </w:p>
    <w:p w14:paraId="68FE9CFF" w14:textId="3C054326" w:rsidR="007D6473" w:rsidRPr="00965BDB" w:rsidRDefault="007D6473" w:rsidP="00DB32D0">
      <w:pPr>
        <w:pStyle w:val="Paragraph"/>
        <w:widowControl/>
        <w:ind w:firstLine="709"/>
        <w:rPr>
          <w:lang w:val="en-US"/>
        </w:rPr>
      </w:pPr>
      <w:r w:rsidRPr="00965BDB">
        <w:rPr>
          <w:lang w:val="en-US"/>
        </w:rPr>
        <w:t xml:space="preserve">These discussions about the premises to be applied to parametric scales are necessary from a theoretical point of view, but they miss the reality of the social science research community. In most of the relevant </w:t>
      </w:r>
      <w:r w:rsidR="006B34E2">
        <w:rPr>
          <w:lang w:val="en-US"/>
        </w:rPr>
        <w:t>literature</w:t>
      </w:r>
      <w:r w:rsidRPr="00965BDB">
        <w:rPr>
          <w:lang w:val="en-US"/>
        </w:rPr>
        <w:t>, neither</w:t>
      </w:r>
      <w:r w:rsidR="0010337A">
        <w:rPr>
          <w:lang w:val="en-US"/>
        </w:rPr>
        <w:t xml:space="preserve"> are</w:t>
      </w:r>
      <w:r w:rsidRPr="00965BDB">
        <w:rPr>
          <w:lang w:val="en-US"/>
        </w:rPr>
        <w:t xml:space="preserve"> the premises for </w:t>
      </w:r>
      <w:r w:rsidRPr="00965BDB">
        <w:rPr>
          <w:lang w:val="en-US"/>
        </w:rPr>
        <w:lastRenderedPageBreak/>
        <w:t xml:space="preserve">parametric procedures examined in the methods section, nor is there a critical discussion of whether parametric procedures can be used with rating scales. </w:t>
      </w:r>
      <w:r w:rsidR="008C0DCF">
        <w:rPr>
          <w:lang w:val="en-US"/>
        </w:rPr>
        <w:t>In most cases</w:t>
      </w:r>
      <w:r w:rsidRPr="00965BDB">
        <w:rPr>
          <w:lang w:val="en-US"/>
        </w:rPr>
        <w:t xml:space="preserve">, it is the statistical competence or preference of the authors or reviewers that determines which procedures are used and accepted, rather than whether the procedures used are appropriate. The reader is urged to seek out such publications and make up </w:t>
      </w:r>
      <w:r w:rsidR="002B248C">
        <w:rPr>
          <w:lang w:val="en-US"/>
        </w:rPr>
        <w:t>their</w:t>
      </w:r>
      <w:r w:rsidR="002B248C" w:rsidRPr="00965BDB">
        <w:rPr>
          <w:lang w:val="en-US"/>
        </w:rPr>
        <w:t xml:space="preserve"> </w:t>
      </w:r>
      <w:r w:rsidRPr="00965BDB">
        <w:rPr>
          <w:lang w:val="en-US"/>
        </w:rPr>
        <w:t xml:space="preserve">own mind. It </w:t>
      </w:r>
      <w:r w:rsidR="009B1241">
        <w:rPr>
          <w:lang w:val="en-US"/>
        </w:rPr>
        <w:t>appears to be especially</w:t>
      </w:r>
      <w:r w:rsidRPr="00965BDB">
        <w:rPr>
          <w:lang w:val="en-US"/>
        </w:rPr>
        <w:t xml:space="preserve"> difficult to find publications in the social sciences that </w:t>
      </w:r>
      <w:r w:rsidR="004A72D8">
        <w:rPr>
          <w:lang w:val="en-US"/>
        </w:rPr>
        <w:t>verify</w:t>
      </w:r>
      <w:r w:rsidRPr="00965BDB">
        <w:rPr>
          <w:lang w:val="en-US"/>
        </w:rPr>
        <w:t xml:space="preserve"> </w:t>
      </w:r>
      <w:r w:rsidR="009B1241">
        <w:rPr>
          <w:lang w:val="en-US"/>
        </w:rPr>
        <w:t xml:space="preserve">that </w:t>
      </w:r>
      <w:r w:rsidRPr="00965BDB">
        <w:rPr>
          <w:lang w:val="en-US"/>
        </w:rPr>
        <w:t>these requirements for</w:t>
      </w:r>
      <w:r w:rsidR="004A72D8">
        <w:rPr>
          <w:lang w:val="en-US"/>
        </w:rPr>
        <w:t xml:space="preserve"> applying</w:t>
      </w:r>
      <w:r w:rsidRPr="00965BDB">
        <w:rPr>
          <w:lang w:val="en-US"/>
        </w:rPr>
        <w:t xml:space="preserve"> parametric methods</w:t>
      </w:r>
      <w:r w:rsidR="009B1241">
        <w:rPr>
          <w:lang w:val="en-US"/>
        </w:rPr>
        <w:t xml:space="preserve"> are met</w:t>
      </w:r>
      <w:r w:rsidRPr="00965BDB">
        <w:rPr>
          <w:lang w:val="en-US"/>
        </w:rPr>
        <w:t xml:space="preserve">. For this reason, it is necessary to formulate valid and generally understandable recommendations on how to proceed statistically with rating scales. </w:t>
      </w:r>
    </w:p>
    <w:p w14:paraId="2DD6254D" w14:textId="58C8BA77" w:rsidR="007D6473" w:rsidRPr="00965BDB" w:rsidRDefault="007D6473" w:rsidP="00DB32D0">
      <w:pPr>
        <w:pStyle w:val="Paragraph"/>
        <w:widowControl/>
        <w:ind w:firstLine="709"/>
        <w:rPr>
          <w:lang w:val="en-US"/>
        </w:rPr>
      </w:pPr>
      <w:r w:rsidRPr="00965BDB">
        <w:rPr>
          <w:lang w:val="en-US"/>
        </w:rPr>
        <w:t xml:space="preserve">The purpose of this article is to present the results of a simulation study, </w:t>
      </w:r>
      <w:r w:rsidR="008C021B">
        <w:rPr>
          <w:lang w:val="en-US"/>
        </w:rPr>
        <w:t>which</w:t>
      </w:r>
      <w:r w:rsidR="00DF29F6">
        <w:rPr>
          <w:lang w:val="en-US"/>
        </w:rPr>
        <w:t xml:space="preserve"> models</w:t>
      </w:r>
      <w:r w:rsidRPr="00965BDB">
        <w:rPr>
          <w:lang w:val="en-US"/>
        </w:rPr>
        <w:t xml:space="preserve"> real </w:t>
      </w:r>
      <w:r w:rsidR="00DF29F6">
        <w:rPr>
          <w:lang w:val="en-US"/>
        </w:rPr>
        <w:t>experiments</w:t>
      </w:r>
      <w:r w:rsidRPr="00965BDB">
        <w:rPr>
          <w:lang w:val="en-US"/>
        </w:rPr>
        <w:t xml:space="preserve"> as</w:t>
      </w:r>
      <w:r w:rsidR="00DF29F6">
        <w:rPr>
          <w:lang w:val="en-US"/>
        </w:rPr>
        <w:t xml:space="preserve"> closely as</w:t>
      </w:r>
      <w:r w:rsidRPr="00965BDB">
        <w:rPr>
          <w:lang w:val="en-US"/>
        </w:rPr>
        <w:t xml:space="preserve"> possible, to illustrate the differences between parametric and non-parametric procedures for rating scales and for violations of the normal</w:t>
      </w:r>
      <w:r w:rsidR="00BC2BA4">
        <w:rPr>
          <w:lang w:val="en-US"/>
        </w:rPr>
        <w:t>ity</w:t>
      </w:r>
      <w:r w:rsidRPr="00965BDB">
        <w:rPr>
          <w:lang w:val="en-US"/>
        </w:rPr>
        <w:t xml:space="preserve"> assumption. In this simulation study, the parametric independent samples t-test is compared with the non-parametric Mann</w:t>
      </w:r>
      <w:r w:rsidR="0081421B">
        <w:rPr>
          <w:lang w:val="en-US"/>
        </w:rPr>
        <w:t>–</w:t>
      </w:r>
      <w:r w:rsidRPr="00965BDB">
        <w:rPr>
          <w:lang w:val="en-US"/>
        </w:rPr>
        <w:t>Whitney U</w:t>
      </w:r>
      <w:r w:rsidR="00234D6A">
        <w:rPr>
          <w:lang w:val="en-US"/>
        </w:rPr>
        <w:t>-</w:t>
      </w:r>
      <w:r w:rsidRPr="00965BDB">
        <w:rPr>
          <w:lang w:val="en-US"/>
        </w:rPr>
        <w:t xml:space="preserve">test. False positive and false negative results are used as indicators to evaluate the procedures. Finally, specific recommendations are </w:t>
      </w:r>
      <w:r w:rsidR="00744820">
        <w:rPr>
          <w:lang w:val="en-US"/>
        </w:rPr>
        <w:t>provided based on the results</w:t>
      </w:r>
      <w:r w:rsidRPr="00965BDB">
        <w:rPr>
          <w:lang w:val="en-US"/>
        </w:rPr>
        <w:t xml:space="preserve">. As this issue is </w:t>
      </w:r>
      <w:r w:rsidR="0069140F">
        <w:rPr>
          <w:lang w:val="en-US"/>
        </w:rPr>
        <w:t>particularly</w:t>
      </w:r>
      <w:r w:rsidRPr="00965BDB">
        <w:rPr>
          <w:lang w:val="en-US"/>
        </w:rPr>
        <w:t xml:space="preserve"> critical in the case of a single-item</w:t>
      </w:r>
      <w:r w:rsidR="00E70402">
        <w:rPr>
          <w:lang w:val="en-US"/>
        </w:rPr>
        <w:t xml:space="preserve"> </w:t>
      </w:r>
      <w:r w:rsidRPr="00965BDB">
        <w:rPr>
          <w:lang w:val="en-US"/>
        </w:rPr>
        <w:t>measure approach, the simulation was carried out exclusively with this approach.</w:t>
      </w:r>
    </w:p>
    <w:p w14:paraId="63A4FE4C" w14:textId="34588C04" w:rsidR="00FF6CE8" w:rsidRPr="00965BDB" w:rsidRDefault="0027271A" w:rsidP="00DB32D0">
      <w:pPr>
        <w:pStyle w:val="berschrift2"/>
        <w:rPr>
          <w:i w:val="0"/>
          <w:iCs w:val="0"/>
          <w:lang w:val="en-US"/>
        </w:rPr>
      </w:pPr>
      <w:r w:rsidRPr="00965BDB">
        <w:rPr>
          <w:i w:val="0"/>
          <w:iCs w:val="0"/>
          <w:lang w:val="en-US"/>
        </w:rPr>
        <w:t>Material and methods</w:t>
      </w:r>
    </w:p>
    <w:p w14:paraId="5C2813D2" w14:textId="77777777" w:rsidR="0027271A" w:rsidRPr="00965BDB" w:rsidRDefault="0027271A" w:rsidP="009A7469">
      <w:pPr>
        <w:keepNext/>
        <w:jc w:val="both"/>
        <w:outlineLvl w:val="1"/>
        <w:rPr>
          <w:b/>
          <w:i/>
          <w:iCs/>
          <w:lang w:val="en-US"/>
        </w:rPr>
      </w:pPr>
      <w:r w:rsidRPr="00965BDB">
        <w:rPr>
          <w:b/>
          <w:i/>
          <w:iCs/>
          <w:lang w:val="en-US"/>
        </w:rPr>
        <w:t xml:space="preserve">A typical test setup as a basis for the simulation </w:t>
      </w:r>
    </w:p>
    <w:p w14:paraId="0ADF2218" w14:textId="11002FB8" w:rsidR="0027271A" w:rsidRPr="00965BDB" w:rsidRDefault="0027271A" w:rsidP="009A7469">
      <w:pPr>
        <w:spacing w:before="240"/>
        <w:rPr>
          <w:lang w:val="en-US"/>
        </w:rPr>
      </w:pPr>
      <w:r w:rsidRPr="00965BDB">
        <w:rPr>
          <w:lang w:val="en-US"/>
        </w:rPr>
        <w:t xml:space="preserve">The </w:t>
      </w:r>
      <w:r w:rsidR="00683520" w:rsidRPr="00965BDB">
        <w:rPr>
          <w:lang w:val="en-US"/>
        </w:rPr>
        <w:t xml:space="preserve">independent samples t-test </w:t>
      </w:r>
      <w:r w:rsidR="00683520">
        <w:rPr>
          <w:lang w:val="en-US"/>
        </w:rPr>
        <w:t>and the</w:t>
      </w:r>
      <w:r w:rsidR="00683520" w:rsidRPr="00965BDB">
        <w:rPr>
          <w:lang w:val="en-US"/>
        </w:rPr>
        <w:t xml:space="preserve"> Mann</w:t>
      </w:r>
      <w:r w:rsidR="00683520">
        <w:rPr>
          <w:lang w:val="en-US"/>
        </w:rPr>
        <w:t>–</w:t>
      </w:r>
      <w:r w:rsidR="00683520" w:rsidRPr="00965BDB">
        <w:rPr>
          <w:lang w:val="en-US"/>
        </w:rPr>
        <w:t>Whitney U</w:t>
      </w:r>
      <w:r w:rsidR="00683520">
        <w:rPr>
          <w:lang w:val="en-US"/>
        </w:rPr>
        <w:t>-</w:t>
      </w:r>
      <w:r w:rsidR="00683520" w:rsidRPr="00965BDB">
        <w:rPr>
          <w:lang w:val="en-US"/>
        </w:rPr>
        <w:t xml:space="preserve">test </w:t>
      </w:r>
      <w:r w:rsidRPr="00965BDB">
        <w:rPr>
          <w:lang w:val="en-US"/>
        </w:rPr>
        <w:t>are used whenever two independent groups</w:t>
      </w:r>
      <w:r w:rsidR="00E70402">
        <w:rPr>
          <w:lang w:val="en-US"/>
        </w:rPr>
        <w:t>—</w:t>
      </w:r>
      <w:r w:rsidRPr="00965BDB">
        <w:rPr>
          <w:lang w:val="en-US"/>
        </w:rPr>
        <w:t>an experimental group and a control group</w:t>
      </w:r>
      <w:r w:rsidR="00E70402">
        <w:rPr>
          <w:lang w:val="en-US"/>
        </w:rPr>
        <w:t>—</w:t>
      </w:r>
      <w:r w:rsidRPr="00965BDB">
        <w:rPr>
          <w:lang w:val="en-US"/>
        </w:rPr>
        <w:t xml:space="preserve">are tested to determine whether </w:t>
      </w:r>
      <w:r w:rsidR="008D1397">
        <w:rPr>
          <w:lang w:val="en-US"/>
        </w:rPr>
        <w:t xml:space="preserve">changing </w:t>
      </w:r>
      <w:r w:rsidRPr="00965BDB">
        <w:rPr>
          <w:lang w:val="en-US"/>
        </w:rPr>
        <w:t xml:space="preserve">a central tendency variable leads to significantly different results. In such an experiment, an intervention in the experimental group should change </w:t>
      </w:r>
      <w:r w:rsidRPr="00965BDB">
        <w:rPr>
          <w:lang w:val="en-US"/>
        </w:rPr>
        <w:lastRenderedPageBreak/>
        <w:t>the selected central tendency parameter relative to the control group to such an extent that the intervention can be considered the cause and chance can be excluded except for a selected probability of error (usually 5%). The independent variable is defined here as the group membership of each subject</w:t>
      </w:r>
      <w:r w:rsidR="00AB3D29">
        <w:rPr>
          <w:lang w:val="en-US"/>
        </w:rPr>
        <w:t>, that is, whether the</w:t>
      </w:r>
      <w:r w:rsidRPr="00965BDB">
        <w:rPr>
          <w:lang w:val="en-US"/>
        </w:rPr>
        <w:t xml:space="preserve"> subject belongs to the experimental group or the control group. If the subject is in the control group, for example, </w:t>
      </w:r>
      <w:r w:rsidR="008D61BC">
        <w:rPr>
          <w:lang w:val="en-US"/>
        </w:rPr>
        <w:t xml:space="preserve">either </w:t>
      </w:r>
      <w:r w:rsidRPr="00965BDB">
        <w:rPr>
          <w:lang w:val="en-US"/>
        </w:rPr>
        <w:t xml:space="preserve">no intervention is performed, an intervention is simulated, a placebo is administered, or the so-called gold standard is performed </w:t>
      </w:r>
      <w:r w:rsidR="00E83DA0">
        <w:rPr>
          <w:lang w:val="en-US"/>
        </w:rPr>
        <w:t>(</w:t>
      </w:r>
      <w:r w:rsidRPr="00965BDB">
        <w:rPr>
          <w:lang w:val="en-US"/>
        </w:rPr>
        <w:t xml:space="preserve">e.g., when testing a new </w:t>
      </w:r>
      <w:r w:rsidR="00AB3D29">
        <w:rPr>
          <w:lang w:val="en-US"/>
        </w:rPr>
        <w:t xml:space="preserve">medical </w:t>
      </w:r>
      <w:r w:rsidRPr="00965BDB">
        <w:rPr>
          <w:lang w:val="en-US"/>
        </w:rPr>
        <w:t>treatment</w:t>
      </w:r>
      <w:r w:rsidR="00E83DA0">
        <w:rPr>
          <w:lang w:val="en-US"/>
        </w:rPr>
        <w:t>)</w:t>
      </w:r>
      <w:r w:rsidRPr="00965BDB">
        <w:rPr>
          <w:lang w:val="en-US"/>
        </w:rPr>
        <w:t xml:space="preserve">. However, if the subject is part of the experimental group, something new is usually tested on </w:t>
      </w:r>
      <w:r w:rsidR="00E83DA0">
        <w:rPr>
          <w:lang w:val="en-US"/>
        </w:rPr>
        <w:t>them</w:t>
      </w:r>
      <w:r w:rsidRPr="00965BDB">
        <w:rPr>
          <w:lang w:val="en-US"/>
        </w:rPr>
        <w:t xml:space="preserve">. This can be a new treatment, a new drug or even new product packaging </w:t>
      </w:r>
      <w:r w:rsidR="00D14FAF">
        <w:rPr>
          <w:lang w:val="en-US"/>
        </w:rPr>
        <w:t xml:space="preserve">intended </w:t>
      </w:r>
      <w:r w:rsidRPr="00965BDB">
        <w:rPr>
          <w:lang w:val="en-US"/>
        </w:rPr>
        <w:t xml:space="preserve">to improve the image of a brand. </w:t>
      </w:r>
    </w:p>
    <w:p w14:paraId="6B083EFE" w14:textId="3AC0900D" w:rsidR="0027271A" w:rsidRPr="00965BDB" w:rsidRDefault="0027271A" w:rsidP="009A7469">
      <w:pPr>
        <w:spacing w:before="240"/>
        <w:ind w:firstLine="709"/>
        <w:rPr>
          <w:lang w:val="en-US"/>
        </w:rPr>
      </w:pPr>
      <w:r w:rsidRPr="00965BDB">
        <w:rPr>
          <w:lang w:val="en-US"/>
        </w:rPr>
        <w:t>In an experiment, the dependent variable (</w:t>
      </w:r>
      <w:r w:rsidR="00683520">
        <w:rPr>
          <w:lang w:val="en-US"/>
        </w:rPr>
        <w:t>D</w:t>
      </w:r>
      <w:r w:rsidRPr="00965BDB">
        <w:rPr>
          <w:lang w:val="en-US"/>
        </w:rPr>
        <w:t xml:space="preserve">V) represents the parameter that is to be influenced. </w:t>
      </w:r>
      <w:r w:rsidR="00BF697A">
        <w:rPr>
          <w:lang w:val="en-US"/>
        </w:rPr>
        <w:t>F</w:t>
      </w:r>
      <w:r w:rsidRPr="00965BDB">
        <w:rPr>
          <w:lang w:val="en-US"/>
        </w:rPr>
        <w:t xml:space="preserve">or example, the </w:t>
      </w:r>
      <w:r w:rsidR="00683520">
        <w:rPr>
          <w:lang w:val="en-US"/>
        </w:rPr>
        <w:t>D</w:t>
      </w:r>
      <w:r w:rsidRPr="00965BDB">
        <w:rPr>
          <w:lang w:val="en-US"/>
        </w:rPr>
        <w:t xml:space="preserve">V can be the effectiveness of </w:t>
      </w:r>
      <w:r w:rsidR="00BF697A">
        <w:rPr>
          <w:lang w:val="en-US"/>
        </w:rPr>
        <w:t>a</w:t>
      </w:r>
      <w:r w:rsidR="00BF697A" w:rsidRPr="00965BDB">
        <w:rPr>
          <w:lang w:val="en-US"/>
        </w:rPr>
        <w:t xml:space="preserve"> </w:t>
      </w:r>
      <w:r w:rsidRPr="00965BDB">
        <w:rPr>
          <w:lang w:val="en-US"/>
        </w:rPr>
        <w:t>new treatment method from the subjective point of view of the test subjects</w:t>
      </w:r>
      <w:r w:rsidR="000F6DB0">
        <w:rPr>
          <w:lang w:val="en-US"/>
        </w:rPr>
        <w:t>,</w:t>
      </w:r>
      <w:r w:rsidRPr="00965BDB">
        <w:rPr>
          <w:lang w:val="en-US"/>
        </w:rPr>
        <w:t xml:space="preserve"> or the effect of new product packaging on the image of </w:t>
      </w:r>
      <w:r w:rsidR="00BF697A">
        <w:rPr>
          <w:lang w:val="en-US"/>
        </w:rPr>
        <w:t>a</w:t>
      </w:r>
      <w:r w:rsidR="00BF697A" w:rsidRPr="00965BDB">
        <w:rPr>
          <w:lang w:val="en-US"/>
        </w:rPr>
        <w:t xml:space="preserve"> </w:t>
      </w:r>
      <w:r w:rsidRPr="00965BDB">
        <w:rPr>
          <w:lang w:val="en-US"/>
        </w:rPr>
        <w:t xml:space="preserve">brand. These </w:t>
      </w:r>
      <w:r w:rsidR="00683520">
        <w:rPr>
          <w:lang w:val="en-US"/>
        </w:rPr>
        <w:t>D</w:t>
      </w:r>
      <w:r w:rsidRPr="00965BDB">
        <w:rPr>
          <w:lang w:val="en-US"/>
        </w:rPr>
        <w:t xml:space="preserve">Vs are captured using the measurement models already </w:t>
      </w:r>
      <w:proofErr w:type="gramStart"/>
      <w:r w:rsidRPr="00965BDB">
        <w:rPr>
          <w:lang w:val="en-US"/>
        </w:rPr>
        <w:t>mentioned, or</w:t>
      </w:r>
      <w:proofErr w:type="gramEnd"/>
      <w:r w:rsidRPr="00965BDB">
        <w:rPr>
          <w:lang w:val="en-US"/>
        </w:rPr>
        <w:t xml:space="preserve"> using only a single question (</w:t>
      </w:r>
      <w:r w:rsidR="00BF697A">
        <w:rPr>
          <w:lang w:val="en-US"/>
        </w:rPr>
        <w:t xml:space="preserve">the </w:t>
      </w:r>
      <w:r w:rsidRPr="00965BDB">
        <w:rPr>
          <w:lang w:val="en-US"/>
        </w:rPr>
        <w:t>single</w:t>
      </w:r>
      <w:r w:rsidR="00BF697A">
        <w:rPr>
          <w:lang w:val="en-US"/>
        </w:rPr>
        <w:t>-item</w:t>
      </w:r>
      <w:r w:rsidRPr="00965BDB">
        <w:rPr>
          <w:lang w:val="en-US"/>
        </w:rPr>
        <w:t xml:space="preserve"> measure app</w:t>
      </w:r>
      <w:r w:rsidR="00BF697A">
        <w:rPr>
          <w:lang w:val="en-US"/>
        </w:rPr>
        <w:t>r</w:t>
      </w:r>
      <w:r w:rsidRPr="00965BDB">
        <w:rPr>
          <w:lang w:val="en-US"/>
        </w:rPr>
        <w:t xml:space="preserve">oach). In this approach, the mean is used as the parameter for significance testing. The corresponding procedure would be the t-test for independent samples, in case the normal distribution assumption is sufficiently fulfilled. However, if the underlying scales are to be considered ordinal, then the mean would not be </w:t>
      </w:r>
      <w:proofErr w:type="gramStart"/>
      <w:r w:rsidRPr="00965BDB">
        <w:rPr>
          <w:lang w:val="en-US"/>
        </w:rPr>
        <w:t>defined</w:t>
      </w:r>
      <w:proofErr w:type="gramEnd"/>
      <w:r w:rsidRPr="00965BDB">
        <w:rPr>
          <w:lang w:val="en-US"/>
        </w:rPr>
        <w:t xml:space="preserve"> and a t-test would not be possible. Thus, one would have to resort to the parameter-free Mann-Whitney U</w:t>
      </w:r>
      <w:r w:rsidR="00234D6A">
        <w:rPr>
          <w:lang w:val="en-US"/>
        </w:rPr>
        <w:t>-</w:t>
      </w:r>
      <w:r w:rsidRPr="00965BDB">
        <w:rPr>
          <w:lang w:val="en-US"/>
        </w:rPr>
        <w:t xml:space="preserve">test. In this case, as already mentioned, one would have to accept a loss of power. </w:t>
      </w:r>
    </w:p>
    <w:p w14:paraId="1A63FF93" w14:textId="1B06B2DB" w:rsidR="0027271A" w:rsidRPr="00965BDB" w:rsidRDefault="0027271A" w:rsidP="009A7469">
      <w:pPr>
        <w:spacing w:before="240"/>
        <w:ind w:firstLine="709"/>
        <w:rPr>
          <w:lang w:val="en-US"/>
        </w:rPr>
      </w:pPr>
      <w:r w:rsidRPr="00965BDB">
        <w:rPr>
          <w:lang w:val="en-US"/>
        </w:rPr>
        <w:t>This brief description of a classical experiment serves only as a transition to the design of the simulation study that mimics such a simple experiment.</w:t>
      </w:r>
    </w:p>
    <w:p w14:paraId="57A19C95" w14:textId="77777777" w:rsidR="0027271A" w:rsidRPr="00965BDB" w:rsidRDefault="0027271A" w:rsidP="009A7469">
      <w:pPr>
        <w:keepNext/>
        <w:spacing w:before="240"/>
        <w:jc w:val="both"/>
        <w:outlineLvl w:val="1"/>
        <w:rPr>
          <w:b/>
          <w:i/>
          <w:iCs/>
          <w:lang w:val="en-US"/>
        </w:rPr>
      </w:pPr>
      <w:r w:rsidRPr="00965BDB">
        <w:rPr>
          <w:b/>
          <w:i/>
          <w:iCs/>
          <w:lang w:val="en-US"/>
        </w:rPr>
        <w:lastRenderedPageBreak/>
        <w:t xml:space="preserve">The simulation procedure </w:t>
      </w:r>
    </w:p>
    <w:p w14:paraId="590E7918" w14:textId="76803D1B" w:rsidR="0027271A" w:rsidRPr="00965BDB" w:rsidRDefault="0027271A" w:rsidP="009A7469">
      <w:pPr>
        <w:spacing w:before="240"/>
        <w:rPr>
          <w:lang w:val="en-US"/>
        </w:rPr>
      </w:pPr>
      <w:r w:rsidRPr="00965BDB">
        <w:rPr>
          <w:lang w:val="en-US"/>
        </w:rPr>
        <w:t>Following this simple experimental setup, we developed and ran the following simulations. First, two fictitious populations were created, each with n</w:t>
      </w:r>
      <w:r w:rsidR="00BD0759">
        <w:rPr>
          <w:lang w:val="en-US"/>
        </w:rPr>
        <w:t> </w:t>
      </w:r>
      <w:r w:rsidRPr="00965BDB">
        <w:rPr>
          <w:lang w:val="en-US"/>
        </w:rPr>
        <w:t>=</w:t>
      </w:r>
      <w:r w:rsidR="00BD0759">
        <w:rPr>
          <w:lang w:val="en-US"/>
        </w:rPr>
        <w:t> </w:t>
      </w:r>
      <w:r w:rsidRPr="00965BDB">
        <w:rPr>
          <w:lang w:val="en-US"/>
        </w:rPr>
        <w:t>2 million objects. One population represents the AV of the control group. The other population represents the AV of the experimental group. The difference in means across all simulations was initially set to give an effect size of around 0.3. This would be a medium effect according to standard conventions (Cohen 1992). Then 1000 samples were randomly drawn from each population with sample sizes of n</w:t>
      </w:r>
      <w:r w:rsidR="008C0EFD">
        <w:rPr>
          <w:lang w:val="en-US"/>
        </w:rPr>
        <w:t> </w:t>
      </w:r>
      <w:r w:rsidRPr="00965BDB">
        <w:rPr>
          <w:lang w:val="en-US"/>
        </w:rPr>
        <w:t>=</w:t>
      </w:r>
      <w:r w:rsidR="008C0EFD">
        <w:rPr>
          <w:lang w:val="en-US"/>
        </w:rPr>
        <w:t> </w:t>
      </w:r>
      <w:r w:rsidRPr="00965BDB">
        <w:rPr>
          <w:lang w:val="en-US"/>
        </w:rPr>
        <w:t>10, n</w:t>
      </w:r>
      <w:r w:rsidR="008C0EFD">
        <w:rPr>
          <w:lang w:val="en-US"/>
        </w:rPr>
        <w:t> </w:t>
      </w:r>
      <w:r w:rsidRPr="00965BDB">
        <w:rPr>
          <w:lang w:val="en-US"/>
        </w:rPr>
        <w:t>=</w:t>
      </w:r>
      <w:r w:rsidR="008C0EFD">
        <w:rPr>
          <w:lang w:val="en-US"/>
        </w:rPr>
        <w:t> </w:t>
      </w:r>
      <w:r w:rsidRPr="00965BDB">
        <w:rPr>
          <w:lang w:val="en-US"/>
        </w:rPr>
        <w:t>30, n</w:t>
      </w:r>
      <w:r w:rsidR="008C0EFD">
        <w:rPr>
          <w:lang w:val="en-US"/>
        </w:rPr>
        <w:t> </w:t>
      </w:r>
      <w:r w:rsidRPr="00965BDB">
        <w:rPr>
          <w:lang w:val="en-US"/>
        </w:rPr>
        <w:t>=</w:t>
      </w:r>
      <w:r w:rsidR="008C0EFD">
        <w:rPr>
          <w:lang w:val="en-US"/>
        </w:rPr>
        <w:t> </w:t>
      </w:r>
      <w:r w:rsidRPr="00965BDB">
        <w:rPr>
          <w:lang w:val="en-US"/>
        </w:rPr>
        <w:t>139 and n</w:t>
      </w:r>
      <w:r w:rsidR="008C0EFD">
        <w:rPr>
          <w:lang w:val="en-US"/>
        </w:rPr>
        <w:t> </w:t>
      </w:r>
      <w:r w:rsidRPr="00965BDB">
        <w:rPr>
          <w:lang w:val="en-US"/>
        </w:rPr>
        <w:t>=</w:t>
      </w:r>
      <w:r w:rsidR="008C0EFD">
        <w:rPr>
          <w:lang w:val="en-US"/>
        </w:rPr>
        <w:t> </w:t>
      </w:r>
      <w:r w:rsidRPr="00965BDB">
        <w:rPr>
          <w:lang w:val="en-US"/>
        </w:rPr>
        <w:t>300. After each draw, a t-test and a Mann</w:t>
      </w:r>
      <w:r w:rsidR="008C0EFD">
        <w:rPr>
          <w:lang w:val="en-US"/>
        </w:rPr>
        <w:t>–</w:t>
      </w:r>
      <w:r w:rsidRPr="00965BDB">
        <w:rPr>
          <w:lang w:val="en-US"/>
        </w:rPr>
        <w:t>Whitney U-test were performed (see Fig</w:t>
      </w:r>
      <w:r w:rsidR="00683520">
        <w:rPr>
          <w:lang w:val="en-US"/>
        </w:rPr>
        <w:t>.</w:t>
      </w:r>
      <w:r w:rsidRPr="00965BDB">
        <w:rPr>
          <w:lang w:val="en-US"/>
        </w:rPr>
        <w:t xml:space="preserve"> 1). </w:t>
      </w:r>
    </w:p>
    <w:p w14:paraId="1B4866D0" w14:textId="696CF77F" w:rsidR="0027271A" w:rsidRPr="00965BDB" w:rsidRDefault="0027271A" w:rsidP="009A7469">
      <w:pPr>
        <w:spacing w:before="240"/>
        <w:ind w:firstLine="709"/>
        <w:jc w:val="both"/>
        <w:rPr>
          <w:lang w:val="en-US"/>
        </w:rPr>
      </w:pPr>
      <w:r w:rsidRPr="00965BDB">
        <w:rPr>
          <w:lang w:val="en-US"/>
        </w:rPr>
        <w:t xml:space="preserve">This basic procedure </w:t>
      </w:r>
      <w:r w:rsidR="004B7C55">
        <w:rPr>
          <w:lang w:val="en-US"/>
        </w:rPr>
        <w:t>was</w:t>
      </w:r>
      <w:r w:rsidR="004B7C55" w:rsidRPr="00965BDB">
        <w:rPr>
          <w:lang w:val="en-US"/>
        </w:rPr>
        <w:t xml:space="preserve"> </w:t>
      </w:r>
      <w:r w:rsidRPr="00965BDB">
        <w:rPr>
          <w:lang w:val="en-US"/>
        </w:rPr>
        <w:t>then varied with respect to the scale used (1</w:t>
      </w:r>
      <w:r w:rsidR="00A500ED">
        <w:rPr>
          <w:lang w:val="en-US"/>
        </w:rPr>
        <w:t>–</w:t>
      </w:r>
      <w:r w:rsidRPr="00965BDB">
        <w:rPr>
          <w:lang w:val="en-US"/>
        </w:rPr>
        <w:t>100</w:t>
      </w:r>
      <w:r w:rsidR="00D66715">
        <w:rPr>
          <w:lang w:val="en-US"/>
        </w:rPr>
        <w:t>,</w:t>
      </w:r>
      <w:r w:rsidRPr="00965BDB">
        <w:rPr>
          <w:lang w:val="en-US"/>
        </w:rPr>
        <w:t xml:space="preserve"> 1</w:t>
      </w:r>
      <w:r w:rsidR="00A500ED">
        <w:rPr>
          <w:lang w:val="en-US"/>
        </w:rPr>
        <w:t>–</w:t>
      </w:r>
      <w:r w:rsidRPr="00965BDB">
        <w:rPr>
          <w:lang w:val="en-US"/>
        </w:rPr>
        <w:t>7</w:t>
      </w:r>
      <w:r w:rsidR="00211484">
        <w:rPr>
          <w:lang w:val="en-US"/>
        </w:rPr>
        <w:t xml:space="preserve"> or</w:t>
      </w:r>
      <w:r w:rsidRPr="00965BDB">
        <w:rPr>
          <w:lang w:val="en-US"/>
        </w:rPr>
        <w:t xml:space="preserve"> 1</w:t>
      </w:r>
      <w:r w:rsidR="00A500ED">
        <w:rPr>
          <w:lang w:val="en-US"/>
        </w:rPr>
        <w:t>–</w:t>
      </w:r>
      <w:r w:rsidRPr="00965BDB">
        <w:rPr>
          <w:lang w:val="en-US"/>
        </w:rPr>
        <w:t xml:space="preserve">5) and the type of distribution of the AV (normal </w:t>
      </w:r>
      <w:r w:rsidR="00211484">
        <w:rPr>
          <w:lang w:val="en-US"/>
        </w:rPr>
        <w:t>or</w:t>
      </w:r>
      <w:r w:rsidRPr="00965BDB">
        <w:rPr>
          <w:lang w:val="en-US"/>
        </w:rPr>
        <w:t xml:space="preserve"> skewed).</w:t>
      </w:r>
    </w:p>
    <w:p w14:paraId="3BCEA875" w14:textId="77777777" w:rsidR="0027271A" w:rsidRPr="00965BDB" w:rsidRDefault="0027271A" w:rsidP="00DB32D0">
      <w:pPr>
        <w:ind w:firstLine="709"/>
        <w:jc w:val="both"/>
        <w:rPr>
          <w:lang w:val="en-US"/>
        </w:rPr>
      </w:pPr>
    </w:p>
    <w:p w14:paraId="76C6B2AA" w14:textId="6DCBBAEB" w:rsidR="0027271A" w:rsidRPr="00965BDB" w:rsidRDefault="0027271A" w:rsidP="00DB32D0">
      <w:pPr>
        <w:ind w:firstLine="709"/>
        <w:jc w:val="center"/>
        <w:rPr>
          <w:sz w:val="32"/>
          <w:szCs w:val="32"/>
          <w:lang w:val="en-US"/>
        </w:rPr>
      </w:pPr>
      <w:r w:rsidRPr="00965BDB">
        <w:rPr>
          <w:sz w:val="32"/>
          <w:szCs w:val="32"/>
          <w:lang w:val="en-US"/>
        </w:rPr>
        <w:t>[Figure 1 about here]</w:t>
      </w:r>
    </w:p>
    <w:p w14:paraId="7650F215" w14:textId="09506C45" w:rsidR="0027271A" w:rsidRPr="00965BDB" w:rsidRDefault="0027271A" w:rsidP="00DB32D0">
      <w:pPr>
        <w:ind w:firstLine="709"/>
        <w:jc w:val="both"/>
        <w:rPr>
          <w:lang w:val="en-US"/>
        </w:rPr>
      </w:pPr>
    </w:p>
    <w:p w14:paraId="7B7E804D" w14:textId="08C17E5E" w:rsidR="00D91B11" w:rsidRPr="00965BDB" w:rsidRDefault="00D91B11" w:rsidP="009A7469">
      <w:pPr>
        <w:ind w:firstLine="709"/>
        <w:rPr>
          <w:lang w:val="en-US"/>
        </w:rPr>
      </w:pPr>
      <w:r w:rsidRPr="00965BDB">
        <w:rPr>
          <w:lang w:val="en-US"/>
        </w:rPr>
        <w:t xml:space="preserve">The selected </w:t>
      </w:r>
      <w:r w:rsidR="00683520">
        <w:rPr>
          <w:lang w:val="en-US"/>
        </w:rPr>
        <w:t>sample</w:t>
      </w:r>
      <w:r w:rsidRPr="00965BDB">
        <w:rPr>
          <w:lang w:val="en-US"/>
        </w:rPr>
        <w:t xml:space="preserve"> size of n</w:t>
      </w:r>
      <w:r w:rsidR="00230165">
        <w:rPr>
          <w:lang w:val="en-US"/>
        </w:rPr>
        <w:t> </w:t>
      </w:r>
      <w:r w:rsidRPr="00965BDB">
        <w:rPr>
          <w:lang w:val="en-US"/>
        </w:rPr>
        <w:t>=</w:t>
      </w:r>
      <w:r w:rsidR="00230165">
        <w:rPr>
          <w:lang w:val="en-US"/>
        </w:rPr>
        <w:t> </w:t>
      </w:r>
      <w:r w:rsidRPr="00965BDB">
        <w:rPr>
          <w:lang w:val="en-US"/>
        </w:rPr>
        <w:t>139 was chosen because it can be considered optimal for a one-sided test</w:t>
      </w:r>
      <w:r w:rsidR="008F7F12">
        <w:rPr>
          <w:lang w:val="en-US"/>
        </w:rPr>
        <w:t xml:space="preserve"> with</w:t>
      </w:r>
      <w:r w:rsidRPr="00965BDB">
        <w:rPr>
          <w:lang w:val="en-US"/>
        </w:rPr>
        <w:t xml:space="preserve"> an effect size of 0.3, a power of 80% and a type I error of 5%. This calculation was performed </w:t>
      </w:r>
      <w:r w:rsidR="00230165">
        <w:rPr>
          <w:lang w:val="en-US"/>
        </w:rPr>
        <w:t>using</w:t>
      </w:r>
      <w:r w:rsidR="00230165" w:rsidRPr="00965BDB">
        <w:rPr>
          <w:lang w:val="en-US"/>
        </w:rPr>
        <w:t xml:space="preserve"> </w:t>
      </w:r>
      <w:r w:rsidRPr="00965BDB">
        <w:rPr>
          <w:lang w:val="en-US"/>
        </w:rPr>
        <w:t xml:space="preserve">R and the package </w:t>
      </w:r>
      <w:r w:rsidR="0038047A">
        <w:rPr>
          <w:lang w:val="en-US"/>
        </w:rPr>
        <w:t>“</w:t>
      </w:r>
      <w:proofErr w:type="spellStart"/>
      <w:r w:rsidRPr="00965BDB">
        <w:rPr>
          <w:lang w:val="en-US"/>
        </w:rPr>
        <w:t>pwr</w:t>
      </w:r>
      <w:proofErr w:type="spellEnd"/>
      <w:r w:rsidR="0038047A">
        <w:rPr>
          <w:lang w:val="en-US"/>
        </w:rPr>
        <w:t>”</w:t>
      </w:r>
      <w:r w:rsidR="0038047A" w:rsidRPr="00965BDB">
        <w:rPr>
          <w:lang w:val="en-US"/>
        </w:rPr>
        <w:t xml:space="preserve"> </w:t>
      </w:r>
      <w:r w:rsidRPr="00965BDB">
        <w:rPr>
          <w:lang w:val="en-US"/>
        </w:rPr>
        <w:t>(see Fig</w:t>
      </w:r>
      <w:r w:rsidR="00683520">
        <w:rPr>
          <w:lang w:val="en-US"/>
        </w:rPr>
        <w:t>.</w:t>
      </w:r>
      <w:r w:rsidRPr="00965BDB">
        <w:rPr>
          <w:lang w:val="en-US"/>
        </w:rPr>
        <w:t xml:space="preserve"> 2).</w:t>
      </w:r>
    </w:p>
    <w:p w14:paraId="279B57DC" w14:textId="77777777" w:rsidR="00D91B11" w:rsidRPr="00965BDB" w:rsidRDefault="00D91B11" w:rsidP="00DB32D0">
      <w:pPr>
        <w:jc w:val="both"/>
        <w:rPr>
          <w:lang w:val="en-US"/>
        </w:rPr>
      </w:pPr>
    </w:p>
    <w:p w14:paraId="036763C7" w14:textId="765B254A" w:rsidR="00D91B11" w:rsidRPr="00965BDB" w:rsidRDefault="00D91B11" w:rsidP="00DB32D0">
      <w:pPr>
        <w:ind w:firstLine="709"/>
        <w:jc w:val="center"/>
        <w:rPr>
          <w:sz w:val="32"/>
          <w:szCs w:val="32"/>
          <w:lang w:val="en-US"/>
        </w:rPr>
      </w:pPr>
      <w:r w:rsidRPr="00965BDB">
        <w:rPr>
          <w:sz w:val="32"/>
          <w:szCs w:val="32"/>
          <w:lang w:val="en-US"/>
        </w:rPr>
        <w:t>[Figure 2 about here]</w:t>
      </w:r>
    </w:p>
    <w:p w14:paraId="085EF9DD" w14:textId="77777777" w:rsidR="0027271A" w:rsidRPr="00965BDB" w:rsidRDefault="0027271A" w:rsidP="00DB32D0">
      <w:pPr>
        <w:pStyle w:val="Acknowledgements"/>
        <w:rPr>
          <w:lang w:val="en-US"/>
        </w:rPr>
      </w:pPr>
    </w:p>
    <w:p w14:paraId="4FA9F7DF" w14:textId="73FF3214" w:rsidR="00D91B11" w:rsidRPr="00965BDB" w:rsidRDefault="008F7F12" w:rsidP="009A7469">
      <w:pPr>
        <w:ind w:firstLine="709"/>
        <w:rPr>
          <w:lang w:val="en-US"/>
        </w:rPr>
      </w:pPr>
      <w:r>
        <w:rPr>
          <w:lang w:val="en-US"/>
        </w:rPr>
        <w:t>Following</w:t>
      </w:r>
      <w:r w:rsidRPr="00965BDB">
        <w:rPr>
          <w:lang w:val="en-US"/>
        </w:rPr>
        <w:t xml:space="preserve"> </w:t>
      </w:r>
      <w:r w:rsidR="00D91B11" w:rsidRPr="00965BDB">
        <w:rPr>
          <w:lang w:val="en-US"/>
        </w:rPr>
        <w:t xml:space="preserve">this series of simulations with well-defined mean differences </w:t>
      </w:r>
      <w:r w:rsidR="00EA7B9D">
        <w:rPr>
          <w:lang w:val="en-US"/>
        </w:rPr>
        <w:t>between</w:t>
      </w:r>
      <w:r w:rsidR="00EA7B9D" w:rsidRPr="00965BDB">
        <w:rPr>
          <w:lang w:val="en-US"/>
        </w:rPr>
        <w:t xml:space="preserve"> </w:t>
      </w:r>
      <w:r w:rsidR="00D91B11" w:rsidRPr="00965BDB">
        <w:rPr>
          <w:lang w:val="en-US"/>
        </w:rPr>
        <w:t xml:space="preserve">the populations, </w:t>
      </w:r>
      <w:r>
        <w:rPr>
          <w:lang w:val="en-US"/>
        </w:rPr>
        <w:t>p</w:t>
      </w:r>
      <w:r w:rsidRPr="00965BDB">
        <w:rPr>
          <w:lang w:val="en-US"/>
        </w:rPr>
        <w:t xml:space="preserve">opulation </w:t>
      </w:r>
      <w:r w:rsidR="00D91B11" w:rsidRPr="00965BDB">
        <w:rPr>
          <w:lang w:val="en-US"/>
        </w:rPr>
        <w:t xml:space="preserve">1 and </w:t>
      </w:r>
      <w:r>
        <w:rPr>
          <w:lang w:val="en-US"/>
        </w:rPr>
        <w:t>p</w:t>
      </w:r>
      <w:r w:rsidRPr="00965BDB">
        <w:rPr>
          <w:lang w:val="en-US"/>
        </w:rPr>
        <w:t xml:space="preserve">opulation </w:t>
      </w:r>
      <w:r w:rsidR="00D91B11" w:rsidRPr="00965BDB">
        <w:rPr>
          <w:lang w:val="en-US"/>
        </w:rPr>
        <w:t xml:space="preserve">2 were chosen so that there were no mean differences. The same simulation steps as just described were then carried out. In this </w:t>
      </w:r>
      <w:r w:rsidR="00D91B11" w:rsidRPr="00965BDB">
        <w:rPr>
          <w:lang w:val="en-US"/>
        </w:rPr>
        <w:lastRenderedPageBreak/>
        <w:t>case, the simulation should produce a maximum of 5% significant results. This result would correspond exactly to the selected type I error. Figure 3 gives an overview of the whole simulation.</w:t>
      </w:r>
    </w:p>
    <w:p w14:paraId="543A1805" w14:textId="77777777" w:rsidR="00D91B11" w:rsidRPr="00965BDB" w:rsidRDefault="00D91B11" w:rsidP="00DB32D0">
      <w:pPr>
        <w:pStyle w:val="Acknowledgements"/>
        <w:rPr>
          <w:lang w:val="en-US"/>
        </w:rPr>
      </w:pPr>
    </w:p>
    <w:p w14:paraId="4F8641C4" w14:textId="49612B44" w:rsidR="00D91B11" w:rsidRPr="00965BDB" w:rsidRDefault="00D91B11" w:rsidP="00DB32D0">
      <w:pPr>
        <w:ind w:firstLine="709"/>
        <w:jc w:val="center"/>
        <w:rPr>
          <w:sz w:val="32"/>
          <w:szCs w:val="32"/>
          <w:lang w:val="en-US"/>
        </w:rPr>
      </w:pPr>
      <w:r w:rsidRPr="00965BDB">
        <w:rPr>
          <w:sz w:val="32"/>
          <w:szCs w:val="32"/>
          <w:lang w:val="en-US"/>
        </w:rPr>
        <w:t>[Figure 3 about here]</w:t>
      </w:r>
    </w:p>
    <w:p w14:paraId="72620D68" w14:textId="77777777" w:rsidR="004904EC" w:rsidRPr="00965BDB" w:rsidRDefault="004904EC" w:rsidP="00DB32D0">
      <w:pPr>
        <w:rPr>
          <w:b/>
          <w:bCs/>
          <w:lang w:val="en-US"/>
        </w:rPr>
      </w:pPr>
    </w:p>
    <w:p w14:paraId="18872874" w14:textId="77777777" w:rsidR="004904EC" w:rsidRPr="00965BDB" w:rsidRDefault="004904EC" w:rsidP="00DB32D0">
      <w:pPr>
        <w:rPr>
          <w:b/>
          <w:bCs/>
          <w:lang w:val="en-US"/>
        </w:rPr>
      </w:pPr>
    </w:p>
    <w:p w14:paraId="3D986946" w14:textId="36A950A2" w:rsidR="004904EC" w:rsidRPr="00965BDB" w:rsidRDefault="004904EC" w:rsidP="009A7469">
      <w:pPr>
        <w:keepNext/>
        <w:outlineLvl w:val="0"/>
        <w:rPr>
          <w:b/>
          <w:bCs/>
          <w:lang w:val="en-US"/>
        </w:rPr>
      </w:pPr>
      <w:r w:rsidRPr="00965BDB">
        <w:rPr>
          <w:b/>
          <w:bCs/>
          <w:lang w:val="en-US"/>
        </w:rPr>
        <w:t>Results</w:t>
      </w:r>
    </w:p>
    <w:p w14:paraId="1F8658F4" w14:textId="2940979C" w:rsidR="004904EC" w:rsidRPr="00965BDB" w:rsidRDefault="004904EC" w:rsidP="009A7469">
      <w:pPr>
        <w:keepNext/>
        <w:spacing w:before="240"/>
        <w:rPr>
          <w:lang w:val="en-US"/>
        </w:rPr>
      </w:pPr>
      <w:r w:rsidRPr="00965BDB">
        <w:rPr>
          <w:lang w:val="en-US"/>
        </w:rPr>
        <w:t xml:space="preserve">The simulation </w:t>
      </w:r>
      <w:r w:rsidR="005E2AF2">
        <w:rPr>
          <w:lang w:val="en-US"/>
        </w:rPr>
        <w:t>began</w:t>
      </w:r>
      <w:r w:rsidR="005E2AF2" w:rsidRPr="00965BDB">
        <w:rPr>
          <w:lang w:val="en-US"/>
        </w:rPr>
        <w:t xml:space="preserve"> </w:t>
      </w:r>
      <w:r w:rsidRPr="00965BDB">
        <w:rPr>
          <w:lang w:val="en-US"/>
        </w:rPr>
        <w:t xml:space="preserve">with an ideal scenario. The continuous AV </w:t>
      </w:r>
      <w:r w:rsidR="005E2AF2">
        <w:rPr>
          <w:lang w:val="en-US"/>
        </w:rPr>
        <w:t>was</w:t>
      </w:r>
      <w:r w:rsidR="005E2AF2" w:rsidRPr="00965BDB">
        <w:rPr>
          <w:lang w:val="en-US"/>
        </w:rPr>
        <w:t xml:space="preserve"> </w:t>
      </w:r>
      <w:r w:rsidRPr="00965BDB">
        <w:rPr>
          <w:lang w:val="en-US"/>
        </w:rPr>
        <w:t xml:space="preserve">perfectly normally distributed in </w:t>
      </w:r>
      <w:r w:rsidR="00682C99">
        <w:rPr>
          <w:lang w:val="en-US"/>
        </w:rPr>
        <w:t>p</w:t>
      </w:r>
      <w:r w:rsidR="00472B18" w:rsidRPr="00965BDB">
        <w:rPr>
          <w:lang w:val="en-US"/>
        </w:rPr>
        <w:t>opulation</w:t>
      </w:r>
      <w:r w:rsidR="004905FE">
        <w:rPr>
          <w:lang w:val="en-US"/>
        </w:rPr>
        <w:t>s</w:t>
      </w:r>
      <w:r w:rsidR="00472B18" w:rsidRPr="00965BDB">
        <w:rPr>
          <w:lang w:val="en-US"/>
        </w:rPr>
        <w:t xml:space="preserve"> </w:t>
      </w:r>
      <w:r w:rsidRPr="00965BDB">
        <w:rPr>
          <w:lang w:val="en-US"/>
        </w:rPr>
        <w:t>1 (</w:t>
      </w:r>
      <w:r w:rsidR="004905FE">
        <w:rPr>
          <w:lang w:val="en-US"/>
        </w:rPr>
        <w:t xml:space="preserve">the </w:t>
      </w:r>
      <w:r w:rsidRPr="00965BDB">
        <w:rPr>
          <w:lang w:val="en-US"/>
        </w:rPr>
        <w:t>control group) and 2 (</w:t>
      </w:r>
      <w:r w:rsidR="004905FE">
        <w:rPr>
          <w:lang w:val="en-US"/>
        </w:rPr>
        <w:t xml:space="preserve">the </w:t>
      </w:r>
      <w:r w:rsidRPr="00965BDB">
        <w:rPr>
          <w:lang w:val="en-US"/>
        </w:rPr>
        <w:t xml:space="preserve">experimental group). As already described, 1000 samples with different sample sizes </w:t>
      </w:r>
      <w:r w:rsidR="002D3440">
        <w:rPr>
          <w:lang w:val="en-US"/>
        </w:rPr>
        <w:t>were</w:t>
      </w:r>
      <w:r w:rsidR="002D3440" w:rsidRPr="00965BDB">
        <w:rPr>
          <w:lang w:val="en-US"/>
        </w:rPr>
        <w:t xml:space="preserve"> </w:t>
      </w:r>
      <w:r w:rsidRPr="00965BDB">
        <w:rPr>
          <w:lang w:val="en-US"/>
        </w:rPr>
        <w:t>randomly drawn from each of these two populations (n</w:t>
      </w:r>
      <w:r w:rsidR="004905FE">
        <w:rPr>
          <w:lang w:val="en-US"/>
        </w:rPr>
        <w:t> </w:t>
      </w:r>
      <w:r w:rsidRPr="00965BDB">
        <w:rPr>
          <w:lang w:val="en-US"/>
        </w:rPr>
        <w:t>=</w:t>
      </w:r>
      <w:r w:rsidR="004905FE">
        <w:rPr>
          <w:lang w:val="en-US"/>
        </w:rPr>
        <w:t> </w:t>
      </w:r>
      <w:r w:rsidRPr="00965BDB">
        <w:rPr>
          <w:lang w:val="en-US"/>
        </w:rPr>
        <w:t>10</w:t>
      </w:r>
      <w:r w:rsidR="004905FE">
        <w:rPr>
          <w:lang w:val="en-US"/>
        </w:rPr>
        <w:t>,</w:t>
      </w:r>
      <w:r w:rsidRPr="00965BDB">
        <w:rPr>
          <w:lang w:val="en-US"/>
        </w:rPr>
        <w:t xml:space="preserve"> n</w:t>
      </w:r>
      <w:r w:rsidR="004905FE">
        <w:rPr>
          <w:lang w:val="en-US"/>
        </w:rPr>
        <w:t> </w:t>
      </w:r>
      <w:r w:rsidRPr="00965BDB">
        <w:rPr>
          <w:lang w:val="en-US"/>
        </w:rPr>
        <w:t>=</w:t>
      </w:r>
      <w:r w:rsidR="004905FE">
        <w:rPr>
          <w:lang w:val="en-US"/>
        </w:rPr>
        <w:t> </w:t>
      </w:r>
      <w:r w:rsidRPr="00965BDB">
        <w:rPr>
          <w:lang w:val="en-US"/>
        </w:rPr>
        <w:t>30</w:t>
      </w:r>
      <w:r w:rsidR="004905FE">
        <w:rPr>
          <w:lang w:val="en-US"/>
        </w:rPr>
        <w:t>,</w:t>
      </w:r>
      <w:r w:rsidRPr="00965BDB">
        <w:rPr>
          <w:lang w:val="en-US"/>
        </w:rPr>
        <w:t xml:space="preserve"> n</w:t>
      </w:r>
      <w:r w:rsidR="004905FE">
        <w:rPr>
          <w:lang w:val="en-US"/>
        </w:rPr>
        <w:t> </w:t>
      </w:r>
      <w:r w:rsidRPr="00965BDB">
        <w:rPr>
          <w:lang w:val="en-US"/>
        </w:rPr>
        <w:t>=</w:t>
      </w:r>
      <w:r w:rsidR="004905FE">
        <w:rPr>
          <w:lang w:val="en-US"/>
        </w:rPr>
        <w:t> </w:t>
      </w:r>
      <w:r w:rsidRPr="00965BDB">
        <w:rPr>
          <w:lang w:val="en-US"/>
        </w:rPr>
        <w:t>139</w:t>
      </w:r>
      <w:r w:rsidR="004905FE">
        <w:rPr>
          <w:lang w:val="en-US"/>
        </w:rPr>
        <w:t>,</w:t>
      </w:r>
      <w:r w:rsidRPr="00965BDB">
        <w:rPr>
          <w:lang w:val="en-US"/>
        </w:rPr>
        <w:t xml:space="preserve"> n</w:t>
      </w:r>
      <w:r w:rsidR="004905FE">
        <w:rPr>
          <w:lang w:val="en-US"/>
        </w:rPr>
        <w:t> </w:t>
      </w:r>
      <w:r w:rsidRPr="00965BDB">
        <w:rPr>
          <w:lang w:val="en-US"/>
        </w:rPr>
        <w:t>=</w:t>
      </w:r>
      <w:r w:rsidR="004905FE">
        <w:rPr>
          <w:lang w:val="en-US"/>
        </w:rPr>
        <w:t> </w:t>
      </w:r>
      <w:r w:rsidRPr="00965BDB">
        <w:rPr>
          <w:lang w:val="en-US"/>
        </w:rPr>
        <w:t xml:space="preserve">300). After each draw, a t-test and a U-test </w:t>
      </w:r>
      <w:r w:rsidR="002D3440">
        <w:rPr>
          <w:lang w:val="en-US"/>
        </w:rPr>
        <w:t>were</w:t>
      </w:r>
      <w:r w:rsidR="002D3440" w:rsidRPr="00965BDB">
        <w:rPr>
          <w:lang w:val="en-US"/>
        </w:rPr>
        <w:t xml:space="preserve"> </w:t>
      </w:r>
      <w:r w:rsidRPr="00965BDB">
        <w:rPr>
          <w:lang w:val="en-US"/>
        </w:rPr>
        <w:t xml:space="preserve">performed. The true positive rate </w:t>
      </w:r>
      <w:r w:rsidR="002D3440">
        <w:rPr>
          <w:lang w:val="en-US"/>
        </w:rPr>
        <w:t>was</w:t>
      </w:r>
      <w:r w:rsidR="002D3440" w:rsidRPr="00965BDB">
        <w:rPr>
          <w:lang w:val="en-US"/>
        </w:rPr>
        <w:t xml:space="preserve"> </w:t>
      </w:r>
      <w:r w:rsidRPr="00965BDB">
        <w:rPr>
          <w:lang w:val="en-US"/>
        </w:rPr>
        <w:t xml:space="preserve">then calculated. </w:t>
      </w:r>
    </w:p>
    <w:p w14:paraId="000F3EAB" w14:textId="129BA556" w:rsidR="004904EC" w:rsidRPr="00965BDB" w:rsidRDefault="00D62AF2" w:rsidP="009A7469">
      <w:pPr>
        <w:keepNext/>
        <w:spacing w:before="240"/>
        <w:ind w:firstLine="709"/>
        <w:rPr>
          <w:lang w:val="en-US"/>
        </w:rPr>
      </w:pPr>
      <w:r>
        <w:rPr>
          <w:lang w:val="en-US"/>
        </w:rPr>
        <w:t>F</w:t>
      </w:r>
      <w:r w:rsidRPr="00965BDB">
        <w:rPr>
          <w:lang w:val="en-US"/>
        </w:rPr>
        <w:t xml:space="preserve">igure </w:t>
      </w:r>
      <w:r w:rsidR="004904EC" w:rsidRPr="00965BDB">
        <w:rPr>
          <w:lang w:val="en-US"/>
        </w:rPr>
        <w:t>4 shows the location of the two populations and the distribution of the 1000 sample means per population as a function of sample size.</w:t>
      </w:r>
    </w:p>
    <w:p w14:paraId="5DA3E869" w14:textId="77777777" w:rsidR="004904EC" w:rsidRPr="00965BDB" w:rsidRDefault="004904EC" w:rsidP="00DB32D0">
      <w:pPr>
        <w:ind w:firstLine="709"/>
        <w:jc w:val="center"/>
        <w:rPr>
          <w:sz w:val="32"/>
          <w:szCs w:val="32"/>
          <w:lang w:val="en-US"/>
        </w:rPr>
      </w:pPr>
    </w:p>
    <w:p w14:paraId="4DB9F4DF" w14:textId="47A3453C" w:rsidR="004904EC" w:rsidRPr="00965BDB" w:rsidRDefault="004904EC" w:rsidP="00DB32D0">
      <w:pPr>
        <w:ind w:firstLine="709"/>
        <w:jc w:val="center"/>
        <w:rPr>
          <w:sz w:val="32"/>
          <w:szCs w:val="32"/>
          <w:lang w:val="en-US"/>
        </w:rPr>
      </w:pPr>
      <w:r w:rsidRPr="00965BDB">
        <w:rPr>
          <w:sz w:val="32"/>
          <w:szCs w:val="32"/>
          <w:lang w:val="en-US"/>
        </w:rPr>
        <w:t>[Figure 4 about here]</w:t>
      </w:r>
    </w:p>
    <w:p w14:paraId="406A0227" w14:textId="77777777" w:rsidR="004904EC" w:rsidRPr="00965BDB" w:rsidRDefault="004904EC" w:rsidP="00DB32D0">
      <w:pPr>
        <w:rPr>
          <w:lang w:val="en-US"/>
        </w:rPr>
      </w:pPr>
    </w:p>
    <w:p w14:paraId="54104E2E" w14:textId="0EAD579E" w:rsidR="004904EC" w:rsidRPr="00965BDB" w:rsidRDefault="004904EC" w:rsidP="009A7469">
      <w:pPr>
        <w:ind w:firstLine="709"/>
        <w:rPr>
          <w:rFonts w:cstheme="minorBidi"/>
          <w:szCs w:val="22"/>
          <w:lang w:val="en-US"/>
        </w:rPr>
      </w:pPr>
      <w:r w:rsidRPr="00965BDB">
        <w:rPr>
          <w:lang w:val="en-US"/>
        </w:rPr>
        <w:t xml:space="preserve">Table 1 contains the results of this first simulation. </w:t>
      </w:r>
      <w:proofErr w:type="gramStart"/>
      <w:r w:rsidRPr="00965BDB">
        <w:rPr>
          <w:lang w:val="en-US"/>
        </w:rPr>
        <w:t>It can be seen that the</w:t>
      </w:r>
      <w:proofErr w:type="gramEnd"/>
      <w:r w:rsidRPr="00965BDB">
        <w:rPr>
          <w:lang w:val="en-US"/>
        </w:rPr>
        <w:t xml:space="preserve"> Type I and Type II errors are quite close to the values assumed for the calculation of the optimal sample size of n</w:t>
      </w:r>
      <w:r w:rsidR="003239BE">
        <w:rPr>
          <w:lang w:val="en-US"/>
        </w:rPr>
        <w:t> </w:t>
      </w:r>
      <w:r w:rsidRPr="00965BDB">
        <w:rPr>
          <w:lang w:val="en-US"/>
        </w:rPr>
        <w:t>=</w:t>
      </w:r>
      <w:r w:rsidR="003239BE">
        <w:rPr>
          <w:lang w:val="en-US"/>
        </w:rPr>
        <w:t> </w:t>
      </w:r>
      <w:r w:rsidRPr="00965BDB">
        <w:rPr>
          <w:lang w:val="en-US"/>
        </w:rPr>
        <w:t>139 (</w:t>
      </w:r>
      <w:r w:rsidR="004E1F0C">
        <w:rPr>
          <w:lang w:val="en-US"/>
        </w:rPr>
        <w:t>t</w:t>
      </w:r>
      <w:r w:rsidRPr="00965BDB">
        <w:rPr>
          <w:lang w:val="en-US"/>
        </w:rPr>
        <w:t>ype I error</w:t>
      </w:r>
      <w:r w:rsidR="004E1F0C">
        <w:rPr>
          <w:lang w:val="en-US"/>
        </w:rPr>
        <w:t> </w:t>
      </w:r>
      <w:r w:rsidRPr="00965BDB">
        <w:rPr>
          <w:lang w:val="en-US"/>
        </w:rPr>
        <w:t>=</w:t>
      </w:r>
      <w:r w:rsidR="004E1F0C">
        <w:rPr>
          <w:lang w:val="en-US"/>
        </w:rPr>
        <w:t> </w:t>
      </w:r>
      <w:r w:rsidRPr="00965BDB">
        <w:rPr>
          <w:lang w:val="en-US"/>
        </w:rPr>
        <w:t>5.1%</w:t>
      </w:r>
      <w:r w:rsidR="004E1F0C">
        <w:rPr>
          <w:lang w:val="en-US"/>
        </w:rPr>
        <w:t>,</w:t>
      </w:r>
      <w:r w:rsidRPr="00965BDB">
        <w:rPr>
          <w:lang w:val="en-US"/>
        </w:rPr>
        <w:t xml:space="preserve"> </w:t>
      </w:r>
      <w:r w:rsidR="004E1F0C">
        <w:rPr>
          <w:lang w:val="en-US"/>
        </w:rPr>
        <w:t>t</w:t>
      </w:r>
      <w:r w:rsidRPr="00965BDB">
        <w:rPr>
          <w:lang w:val="en-US"/>
        </w:rPr>
        <w:t>ype II error</w:t>
      </w:r>
      <w:r w:rsidR="004E1F0C">
        <w:rPr>
          <w:lang w:val="en-US"/>
        </w:rPr>
        <w:t> </w:t>
      </w:r>
      <w:r w:rsidRPr="00965BDB">
        <w:rPr>
          <w:lang w:val="en-US"/>
        </w:rPr>
        <w:t>=</w:t>
      </w:r>
      <w:r w:rsidR="004E1F0C">
        <w:rPr>
          <w:lang w:val="en-US"/>
        </w:rPr>
        <w:t> </w:t>
      </w:r>
      <w:r w:rsidRPr="00965BDB">
        <w:rPr>
          <w:lang w:val="en-US"/>
        </w:rPr>
        <w:t xml:space="preserve">19.8% and </w:t>
      </w:r>
      <w:r w:rsidR="004E1F0C">
        <w:rPr>
          <w:lang w:val="en-US"/>
        </w:rPr>
        <w:t>p</w:t>
      </w:r>
      <w:r w:rsidRPr="00965BDB">
        <w:rPr>
          <w:lang w:val="en-US"/>
        </w:rPr>
        <w:t>ower</w:t>
      </w:r>
      <w:r w:rsidR="004E1F0C">
        <w:rPr>
          <w:lang w:val="en-US"/>
        </w:rPr>
        <w:t> </w:t>
      </w:r>
      <w:r w:rsidRPr="00965BDB">
        <w:rPr>
          <w:lang w:val="en-US"/>
        </w:rPr>
        <w:t>=</w:t>
      </w:r>
      <w:r w:rsidR="004E1F0C">
        <w:rPr>
          <w:lang w:val="en-US"/>
        </w:rPr>
        <w:t> </w:t>
      </w:r>
      <w:r w:rsidRPr="00965BDB">
        <w:rPr>
          <w:lang w:val="en-US"/>
        </w:rPr>
        <w:t>79.8%). This also proves that the simulation leads to correct results.</w:t>
      </w:r>
    </w:p>
    <w:p w14:paraId="61B4051B" w14:textId="77777777" w:rsidR="00D91B11" w:rsidRPr="00965BDB" w:rsidRDefault="00D91B11" w:rsidP="00DB32D0">
      <w:pPr>
        <w:pStyle w:val="Acknowledgements"/>
        <w:rPr>
          <w:lang w:val="en-US"/>
        </w:rPr>
      </w:pPr>
    </w:p>
    <w:p w14:paraId="0D6949D9" w14:textId="5A0FBE3A" w:rsidR="004904EC" w:rsidRPr="00965BDB" w:rsidRDefault="004904EC" w:rsidP="00DB32D0">
      <w:pPr>
        <w:ind w:firstLine="709"/>
        <w:jc w:val="center"/>
        <w:rPr>
          <w:sz w:val="32"/>
          <w:szCs w:val="32"/>
          <w:lang w:val="en-US"/>
        </w:rPr>
      </w:pPr>
      <w:r w:rsidRPr="00965BDB">
        <w:rPr>
          <w:sz w:val="32"/>
          <w:szCs w:val="32"/>
          <w:lang w:val="en-US"/>
        </w:rPr>
        <w:t>[Table 1 about here]</w:t>
      </w:r>
    </w:p>
    <w:p w14:paraId="4E3E0E39" w14:textId="178AF268" w:rsidR="00D91B11" w:rsidRPr="00965BDB" w:rsidRDefault="00D91B11" w:rsidP="00DB32D0">
      <w:pPr>
        <w:pStyle w:val="Acknowledgements"/>
        <w:rPr>
          <w:lang w:val="en-US"/>
        </w:rPr>
      </w:pPr>
    </w:p>
    <w:p w14:paraId="1D7CEF44" w14:textId="1CC5A3A3" w:rsidR="004904EC" w:rsidRPr="00965BDB" w:rsidRDefault="004904EC" w:rsidP="009A7469">
      <w:pPr>
        <w:ind w:firstLine="709"/>
        <w:rPr>
          <w:lang w:val="en-US"/>
        </w:rPr>
      </w:pPr>
      <w:r w:rsidRPr="00965BDB">
        <w:rPr>
          <w:lang w:val="en-US"/>
        </w:rPr>
        <w:t xml:space="preserve">The results </w:t>
      </w:r>
      <w:r w:rsidR="00DF1D49">
        <w:rPr>
          <w:lang w:val="en-US"/>
        </w:rPr>
        <w:t>clearly</w:t>
      </w:r>
      <w:r w:rsidR="00DF1D49" w:rsidRPr="00965BDB">
        <w:rPr>
          <w:lang w:val="en-US"/>
        </w:rPr>
        <w:t xml:space="preserve"> </w:t>
      </w:r>
      <w:r w:rsidRPr="00965BDB">
        <w:rPr>
          <w:lang w:val="en-US"/>
        </w:rPr>
        <w:t xml:space="preserve">illustrate that </w:t>
      </w:r>
      <w:r w:rsidR="00DF1D49">
        <w:rPr>
          <w:lang w:val="en-US"/>
        </w:rPr>
        <w:t>overly</w:t>
      </w:r>
      <w:r w:rsidR="00DF1D49" w:rsidRPr="00965BDB">
        <w:rPr>
          <w:lang w:val="en-US"/>
        </w:rPr>
        <w:t xml:space="preserve"> </w:t>
      </w:r>
      <w:r w:rsidRPr="00965BDB">
        <w:rPr>
          <w:lang w:val="en-US"/>
        </w:rPr>
        <w:t>small samples lose</w:t>
      </w:r>
      <w:r w:rsidR="00B73DFB">
        <w:rPr>
          <w:lang w:val="en-US"/>
        </w:rPr>
        <w:t xml:space="preserve"> substantial</w:t>
      </w:r>
      <w:r w:rsidRPr="00965BDB">
        <w:rPr>
          <w:lang w:val="en-US"/>
        </w:rPr>
        <w:t xml:space="preserve"> power and that such </w:t>
      </w:r>
      <w:r w:rsidR="0038047A">
        <w:rPr>
          <w:lang w:val="en-US"/>
        </w:rPr>
        <w:t>“</w:t>
      </w:r>
      <w:r w:rsidRPr="00965BDB">
        <w:rPr>
          <w:lang w:val="en-US"/>
        </w:rPr>
        <w:t>underpowered</w:t>
      </w:r>
      <w:r w:rsidR="0038047A">
        <w:rPr>
          <w:lang w:val="en-US"/>
        </w:rPr>
        <w:t>”</w:t>
      </w:r>
      <w:r w:rsidR="0038047A" w:rsidRPr="00965BDB">
        <w:rPr>
          <w:lang w:val="en-US"/>
        </w:rPr>
        <w:t xml:space="preserve"> </w:t>
      </w:r>
      <w:r w:rsidRPr="00965BDB">
        <w:rPr>
          <w:lang w:val="en-US"/>
        </w:rPr>
        <w:t>studies are often a waste of resources because the desired evidence of an effect is unlikely to be found.</w:t>
      </w:r>
    </w:p>
    <w:p w14:paraId="5CF3C8C9" w14:textId="517A0A8D" w:rsidR="004904EC" w:rsidRPr="00965BDB" w:rsidRDefault="004904EC" w:rsidP="009A7469">
      <w:pPr>
        <w:spacing w:before="240"/>
        <w:ind w:firstLine="709"/>
        <w:rPr>
          <w:lang w:val="en-US"/>
        </w:rPr>
      </w:pPr>
      <w:r w:rsidRPr="00965BDB">
        <w:rPr>
          <w:lang w:val="en-US"/>
        </w:rPr>
        <w:t xml:space="preserve">After this first simulation, the continuous variable was replaced by a discrete one and the scale range was also varied. </w:t>
      </w:r>
      <w:r w:rsidR="0059714B">
        <w:rPr>
          <w:lang w:val="en-US"/>
        </w:rPr>
        <w:t>For the scale range</w:t>
      </w:r>
      <w:r w:rsidRPr="00965BDB">
        <w:rPr>
          <w:lang w:val="en-US"/>
        </w:rPr>
        <w:t xml:space="preserve"> 1</w:t>
      </w:r>
      <w:r w:rsidR="00A500ED">
        <w:rPr>
          <w:lang w:val="en-US"/>
        </w:rPr>
        <w:t>–</w:t>
      </w:r>
      <w:r w:rsidRPr="00965BDB">
        <w:rPr>
          <w:lang w:val="en-US"/>
        </w:rPr>
        <w:t>100</w:t>
      </w:r>
      <w:r w:rsidR="0059714B">
        <w:rPr>
          <w:lang w:val="en-US"/>
        </w:rPr>
        <w:t xml:space="preserve">, </w:t>
      </w:r>
      <w:r w:rsidR="005C7BF2">
        <w:rPr>
          <w:lang w:val="en-US"/>
        </w:rPr>
        <w:t xml:space="preserve">the </w:t>
      </w:r>
      <w:proofErr w:type="gramStart"/>
      <w:r w:rsidR="005C7BF2">
        <w:rPr>
          <w:lang w:val="en-US"/>
        </w:rPr>
        <w:t>two population</w:t>
      </w:r>
      <w:proofErr w:type="gramEnd"/>
      <w:r w:rsidR="005C7BF2">
        <w:rPr>
          <w:lang w:val="en-US"/>
        </w:rPr>
        <w:t xml:space="preserve"> means were 50 (SD 16.5) and 55 (SD 16.5). For the scale range </w:t>
      </w:r>
      <w:r w:rsidRPr="00965BDB">
        <w:rPr>
          <w:lang w:val="en-US"/>
        </w:rPr>
        <w:t>1</w:t>
      </w:r>
      <w:r w:rsidR="00A500ED">
        <w:rPr>
          <w:lang w:val="en-US"/>
        </w:rPr>
        <w:t>–</w:t>
      </w:r>
      <w:r w:rsidRPr="00965BDB">
        <w:rPr>
          <w:lang w:val="en-US"/>
        </w:rPr>
        <w:t>7</w:t>
      </w:r>
      <w:r w:rsidR="005C7BF2">
        <w:rPr>
          <w:lang w:val="en-US"/>
        </w:rPr>
        <w:t>, the population means were 4.0 (SD 1.2) and 4.4 (SD 1.2). For the scale range</w:t>
      </w:r>
      <w:r w:rsidRPr="00965BDB">
        <w:rPr>
          <w:lang w:val="en-US"/>
        </w:rPr>
        <w:t xml:space="preserve"> 1</w:t>
      </w:r>
      <w:r w:rsidR="00A500ED">
        <w:rPr>
          <w:lang w:val="en-US"/>
        </w:rPr>
        <w:t>–</w:t>
      </w:r>
      <w:r w:rsidRPr="00965BDB">
        <w:rPr>
          <w:lang w:val="en-US"/>
        </w:rPr>
        <w:t>5</w:t>
      </w:r>
      <w:r w:rsidR="005C7BF2">
        <w:rPr>
          <w:lang w:val="en-US"/>
        </w:rPr>
        <w:t>, the population means were</w:t>
      </w:r>
      <w:r w:rsidR="00F002B6">
        <w:rPr>
          <w:lang w:val="en-US"/>
        </w:rPr>
        <w:t> </w:t>
      </w:r>
      <w:r w:rsidRPr="00965BDB">
        <w:rPr>
          <w:lang w:val="en-US"/>
        </w:rPr>
        <w:t>3.0 (SD</w:t>
      </w:r>
      <w:r w:rsidR="005C7BF2">
        <w:rPr>
          <w:lang w:val="en-US"/>
        </w:rPr>
        <w:t xml:space="preserve"> </w:t>
      </w:r>
      <w:r w:rsidRPr="00965BDB">
        <w:rPr>
          <w:lang w:val="en-US"/>
        </w:rPr>
        <w:t>1.0)</w:t>
      </w:r>
      <w:r w:rsidR="005C7BF2">
        <w:rPr>
          <w:lang w:val="en-US"/>
        </w:rPr>
        <w:t xml:space="preserve"> and</w:t>
      </w:r>
      <w:r w:rsidR="005C7BF2" w:rsidRPr="00965BDB" w:rsidDel="005C7BF2">
        <w:rPr>
          <w:lang w:val="en-US"/>
        </w:rPr>
        <w:t xml:space="preserve"> </w:t>
      </w:r>
      <w:r w:rsidRPr="00965BDB">
        <w:rPr>
          <w:lang w:val="en-US"/>
        </w:rPr>
        <w:t>3.3 (SD</w:t>
      </w:r>
      <w:r w:rsidR="009C4F1D">
        <w:rPr>
          <w:lang w:val="en-US"/>
        </w:rPr>
        <w:t xml:space="preserve"> </w:t>
      </w:r>
      <w:r w:rsidRPr="00965BDB">
        <w:rPr>
          <w:lang w:val="en-US"/>
        </w:rPr>
        <w:t xml:space="preserve">1.0). From </w:t>
      </w:r>
      <w:r w:rsidR="00A07018">
        <w:rPr>
          <w:lang w:val="en-US"/>
        </w:rPr>
        <w:t xml:space="preserve">each of </w:t>
      </w:r>
      <w:r w:rsidRPr="00965BDB">
        <w:rPr>
          <w:lang w:val="en-US"/>
        </w:rPr>
        <w:t xml:space="preserve">these populations, 1000 samples were </w:t>
      </w:r>
      <w:r w:rsidR="00F82EE9">
        <w:rPr>
          <w:lang w:val="en-US"/>
        </w:rPr>
        <w:t>drawn</w:t>
      </w:r>
      <w:r w:rsidR="00F82EE9" w:rsidRPr="00965BDB">
        <w:rPr>
          <w:lang w:val="en-US"/>
        </w:rPr>
        <w:t xml:space="preserve"> </w:t>
      </w:r>
      <w:r w:rsidRPr="00965BDB">
        <w:rPr>
          <w:lang w:val="en-US"/>
        </w:rPr>
        <w:t xml:space="preserve">to determine the true and false positive rates of the two tests. Figure 5 shows the density of the distributions of the dependent variable </w:t>
      </w:r>
      <w:r w:rsidR="00787092">
        <w:rPr>
          <w:lang w:val="en-US"/>
        </w:rPr>
        <w:t>for</w:t>
      </w:r>
      <w:r w:rsidR="00787092" w:rsidRPr="00965BDB">
        <w:rPr>
          <w:lang w:val="en-US"/>
        </w:rPr>
        <w:t xml:space="preserve"> </w:t>
      </w:r>
      <w:r w:rsidRPr="00965BDB">
        <w:rPr>
          <w:lang w:val="en-US"/>
        </w:rPr>
        <w:t xml:space="preserve">the fictitious populations. </w:t>
      </w:r>
    </w:p>
    <w:p w14:paraId="005D4BAB" w14:textId="162C8F74" w:rsidR="004904EC" w:rsidRPr="00965BDB" w:rsidRDefault="004904EC" w:rsidP="00DB32D0">
      <w:pPr>
        <w:rPr>
          <w:lang w:val="en-US"/>
        </w:rPr>
      </w:pPr>
    </w:p>
    <w:p w14:paraId="0F50A74C" w14:textId="307C9BCE" w:rsidR="004904EC" w:rsidRPr="00965BDB" w:rsidRDefault="004904EC" w:rsidP="00DB32D0">
      <w:pPr>
        <w:ind w:firstLine="709"/>
        <w:jc w:val="center"/>
        <w:rPr>
          <w:sz w:val="32"/>
          <w:szCs w:val="32"/>
          <w:lang w:val="en-US"/>
        </w:rPr>
      </w:pPr>
      <w:r w:rsidRPr="00965BDB">
        <w:rPr>
          <w:sz w:val="32"/>
          <w:szCs w:val="32"/>
          <w:lang w:val="en-US"/>
        </w:rPr>
        <w:t>[Figure 5 about here]</w:t>
      </w:r>
    </w:p>
    <w:p w14:paraId="46880EB0" w14:textId="77777777" w:rsidR="004904EC" w:rsidRPr="00965BDB" w:rsidRDefault="004904EC" w:rsidP="00DB32D0">
      <w:pPr>
        <w:rPr>
          <w:rFonts w:eastAsiaTheme="minorHAnsi"/>
          <w:lang w:val="en-US"/>
        </w:rPr>
      </w:pPr>
    </w:p>
    <w:p w14:paraId="4CA98388" w14:textId="50ADCDD4" w:rsidR="004904EC" w:rsidRPr="00965BDB" w:rsidRDefault="004904EC" w:rsidP="009A7469">
      <w:pPr>
        <w:pStyle w:val="CitaviBibliographyHeading"/>
        <w:keepNext w:val="0"/>
        <w:keepLines w:val="0"/>
        <w:ind w:firstLine="709"/>
        <w:outlineLvl w:val="9"/>
        <w:rPr>
          <w:rFonts w:ascii="Times New Roman" w:eastAsiaTheme="minorHAnsi" w:hAnsi="Times New Roman" w:cs="Times New Roman"/>
          <w:color w:val="auto"/>
          <w:sz w:val="24"/>
          <w:szCs w:val="24"/>
        </w:rPr>
      </w:pPr>
      <w:r w:rsidRPr="00965BDB">
        <w:rPr>
          <w:rFonts w:ascii="Times New Roman" w:eastAsiaTheme="minorHAnsi" w:hAnsi="Times New Roman" w:cs="Times New Roman"/>
          <w:color w:val="auto"/>
          <w:sz w:val="24"/>
          <w:szCs w:val="24"/>
        </w:rPr>
        <w:t>Table</w:t>
      </w:r>
      <w:r w:rsidR="00176481">
        <w:rPr>
          <w:rFonts w:ascii="Times New Roman" w:eastAsiaTheme="minorHAnsi" w:hAnsi="Times New Roman" w:cs="Times New Roman"/>
          <w:color w:val="auto"/>
          <w:sz w:val="24"/>
          <w:szCs w:val="24"/>
        </w:rPr>
        <w:t>s</w:t>
      </w:r>
      <w:r w:rsidRPr="00965BDB">
        <w:rPr>
          <w:rFonts w:ascii="Times New Roman" w:eastAsiaTheme="minorHAnsi" w:hAnsi="Times New Roman" w:cs="Times New Roman"/>
          <w:color w:val="auto"/>
          <w:sz w:val="24"/>
          <w:szCs w:val="24"/>
        </w:rPr>
        <w:t xml:space="preserve"> 1</w:t>
      </w:r>
      <w:r w:rsidR="00176481">
        <w:rPr>
          <w:rFonts w:ascii="Times New Roman" w:eastAsiaTheme="minorHAnsi" w:hAnsi="Times New Roman" w:cs="Times New Roman"/>
          <w:color w:val="auto"/>
          <w:sz w:val="24"/>
          <w:szCs w:val="24"/>
        </w:rPr>
        <w:t>–</w:t>
      </w:r>
      <w:r w:rsidRPr="00965BDB">
        <w:rPr>
          <w:rFonts w:ascii="Times New Roman" w:eastAsiaTheme="minorHAnsi" w:hAnsi="Times New Roman" w:cs="Times New Roman"/>
          <w:color w:val="auto"/>
          <w:sz w:val="24"/>
          <w:szCs w:val="24"/>
        </w:rPr>
        <w:t>4 show the results of the simulation. The percentages correspond to the true positive rates (samples from population</w:t>
      </w:r>
      <w:r w:rsidR="00682C99">
        <w:rPr>
          <w:rFonts w:ascii="Times New Roman" w:eastAsiaTheme="minorHAnsi" w:hAnsi="Times New Roman" w:cs="Times New Roman"/>
          <w:color w:val="auto"/>
          <w:sz w:val="24"/>
          <w:szCs w:val="24"/>
        </w:rPr>
        <w:t>s</w:t>
      </w:r>
      <w:r w:rsidRPr="00965BDB">
        <w:rPr>
          <w:rFonts w:ascii="Times New Roman" w:eastAsiaTheme="minorHAnsi" w:hAnsi="Times New Roman" w:cs="Times New Roman"/>
          <w:color w:val="auto"/>
          <w:sz w:val="24"/>
          <w:szCs w:val="24"/>
        </w:rPr>
        <w:t xml:space="preserve"> 1</w:t>
      </w:r>
      <w:r w:rsidR="00682C99">
        <w:rPr>
          <w:rFonts w:ascii="Times New Roman" w:eastAsiaTheme="minorHAnsi" w:hAnsi="Times New Roman" w:cs="Times New Roman"/>
          <w:color w:val="auto"/>
          <w:sz w:val="24"/>
          <w:szCs w:val="24"/>
        </w:rPr>
        <w:t xml:space="preserve"> and </w:t>
      </w:r>
      <w:r w:rsidRPr="00965BDB">
        <w:rPr>
          <w:rFonts w:ascii="Times New Roman" w:eastAsiaTheme="minorHAnsi" w:hAnsi="Times New Roman" w:cs="Times New Roman"/>
          <w:color w:val="auto"/>
          <w:sz w:val="24"/>
          <w:szCs w:val="24"/>
        </w:rPr>
        <w:t>2) and the false positive rates (both samples from population 1).</w:t>
      </w:r>
    </w:p>
    <w:p w14:paraId="48824278" w14:textId="29502F8B" w:rsidR="004904EC" w:rsidRPr="00965BDB" w:rsidRDefault="004904EC" w:rsidP="00DB32D0">
      <w:pPr>
        <w:rPr>
          <w:lang w:val="en-US"/>
        </w:rPr>
      </w:pPr>
    </w:p>
    <w:p w14:paraId="27596E5E" w14:textId="0A485CAA" w:rsidR="004904EC" w:rsidRPr="00965BDB" w:rsidRDefault="004904EC" w:rsidP="00DB32D0">
      <w:pPr>
        <w:ind w:firstLine="709"/>
        <w:jc w:val="center"/>
        <w:rPr>
          <w:sz w:val="32"/>
          <w:szCs w:val="32"/>
          <w:lang w:val="en-US"/>
        </w:rPr>
      </w:pPr>
      <w:r w:rsidRPr="00965BDB">
        <w:rPr>
          <w:sz w:val="32"/>
          <w:szCs w:val="32"/>
          <w:lang w:val="en-US"/>
        </w:rPr>
        <w:t>[Tables 2-5 about here]</w:t>
      </w:r>
    </w:p>
    <w:p w14:paraId="043CB0DB" w14:textId="77777777" w:rsidR="004904EC" w:rsidRPr="00965BDB" w:rsidRDefault="004904EC" w:rsidP="00DB32D0">
      <w:pPr>
        <w:rPr>
          <w:lang w:val="en-US"/>
        </w:rPr>
      </w:pPr>
    </w:p>
    <w:p w14:paraId="00421071" w14:textId="62DB76BD" w:rsidR="00C07F34" w:rsidRPr="00965BDB" w:rsidRDefault="00C07F34" w:rsidP="00DB32D0">
      <w:pPr>
        <w:rPr>
          <w:lang w:val="en-US"/>
        </w:rPr>
      </w:pPr>
      <w:r w:rsidRPr="00965BDB">
        <w:rPr>
          <w:lang w:val="en-US"/>
        </w:rPr>
        <w:t>The results show that</w:t>
      </w:r>
      <w:r w:rsidR="00265574">
        <w:rPr>
          <w:lang w:val="en-US"/>
        </w:rPr>
        <w:t>,</w:t>
      </w:r>
      <w:r w:rsidRPr="00965BDB">
        <w:rPr>
          <w:lang w:val="en-US"/>
        </w:rPr>
        <w:t xml:space="preserve"> on the one hand</w:t>
      </w:r>
      <w:r w:rsidR="00265574">
        <w:rPr>
          <w:lang w:val="en-US"/>
        </w:rPr>
        <w:t>,</w:t>
      </w:r>
      <w:r w:rsidRPr="00965BDB">
        <w:rPr>
          <w:lang w:val="en-US"/>
        </w:rPr>
        <w:t xml:space="preserve"> the t-test has a slightly higher power than the non-parametric alternative. However, it is noticeable that this power is significantly reduced </w:t>
      </w:r>
      <w:r w:rsidR="00590DA7">
        <w:rPr>
          <w:lang w:val="en-US"/>
        </w:rPr>
        <w:t>relative</w:t>
      </w:r>
      <w:r w:rsidR="00590DA7" w:rsidRPr="00965BDB">
        <w:rPr>
          <w:lang w:val="en-US"/>
        </w:rPr>
        <w:t xml:space="preserve"> </w:t>
      </w:r>
      <w:r w:rsidRPr="00965BDB">
        <w:rPr>
          <w:lang w:val="en-US"/>
        </w:rPr>
        <w:t xml:space="preserve">to a continuous variable. To compensate for this loss, when calculating </w:t>
      </w:r>
      <w:r w:rsidRPr="00965BDB">
        <w:rPr>
          <w:lang w:val="en-US"/>
        </w:rPr>
        <w:lastRenderedPageBreak/>
        <w:t xml:space="preserve">the optimal sample size, one should choose a sample size that is about 25% larger. According to our simulation, </w:t>
      </w:r>
      <w:r w:rsidR="00D94FBC">
        <w:rPr>
          <w:lang w:val="en-US"/>
        </w:rPr>
        <w:t>this would provide</w:t>
      </w:r>
      <w:r w:rsidRPr="00965BDB">
        <w:rPr>
          <w:lang w:val="en-US"/>
        </w:rPr>
        <w:t xml:space="preserve"> the desired power for all scales.</w:t>
      </w:r>
    </w:p>
    <w:p w14:paraId="017D7EF8" w14:textId="2E18977F" w:rsidR="00C07F34" w:rsidRPr="00965BDB" w:rsidRDefault="00C07F34" w:rsidP="009A7469">
      <w:pPr>
        <w:spacing w:before="240"/>
        <w:ind w:firstLine="709"/>
        <w:rPr>
          <w:lang w:val="en-US"/>
        </w:rPr>
      </w:pPr>
      <w:r w:rsidRPr="00965BDB">
        <w:rPr>
          <w:lang w:val="en-US"/>
        </w:rPr>
        <w:t xml:space="preserve">It is now interesting to see </w:t>
      </w:r>
      <w:r w:rsidR="00B54DF9">
        <w:rPr>
          <w:lang w:val="en-US"/>
        </w:rPr>
        <w:t>how</w:t>
      </w:r>
      <w:r w:rsidR="00B54DF9" w:rsidRPr="00965BDB">
        <w:rPr>
          <w:lang w:val="en-US"/>
        </w:rPr>
        <w:t xml:space="preserve"> </w:t>
      </w:r>
      <w:r w:rsidRPr="00965BDB">
        <w:rPr>
          <w:lang w:val="en-US"/>
        </w:rPr>
        <w:t xml:space="preserve">the results of this simulation </w:t>
      </w:r>
      <w:r w:rsidR="00B54DF9">
        <w:rPr>
          <w:lang w:val="en-US"/>
        </w:rPr>
        <w:t>change</w:t>
      </w:r>
      <w:r w:rsidR="00B54DF9" w:rsidRPr="00965BDB">
        <w:rPr>
          <w:lang w:val="en-US"/>
        </w:rPr>
        <w:t xml:space="preserve"> </w:t>
      </w:r>
      <w:r w:rsidRPr="00965BDB">
        <w:rPr>
          <w:lang w:val="en-US"/>
        </w:rPr>
        <w:t xml:space="preserve">when it is carried out with populations </w:t>
      </w:r>
      <w:r w:rsidR="00D94FBC">
        <w:rPr>
          <w:lang w:val="en-US"/>
        </w:rPr>
        <w:t>for which</w:t>
      </w:r>
      <w:r w:rsidR="00D94FBC" w:rsidRPr="00965BDB">
        <w:rPr>
          <w:lang w:val="en-US"/>
        </w:rPr>
        <w:t xml:space="preserve"> </w:t>
      </w:r>
      <w:r w:rsidRPr="00965BDB">
        <w:rPr>
          <w:lang w:val="en-US"/>
        </w:rPr>
        <w:t xml:space="preserve">the dependent variable deviates significantly from the </w:t>
      </w:r>
      <w:r w:rsidR="00473348">
        <w:rPr>
          <w:lang w:val="en-US"/>
        </w:rPr>
        <w:t xml:space="preserve">assumed </w:t>
      </w:r>
      <w:r w:rsidRPr="00965BDB">
        <w:rPr>
          <w:lang w:val="en-US"/>
        </w:rPr>
        <w:t xml:space="preserve">normal distribution. Figure 6 shows the density of arbitrarily chosen skewed distributions. They show typical deviations </w:t>
      </w:r>
      <w:r w:rsidR="00B54DF9">
        <w:rPr>
          <w:lang w:val="en-US"/>
        </w:rPr>
        <w:t>that</w:t>
      </w:r>
      <w:r w:rsidRPr="00965BDB">
        <w:rPr>
          <w:lang w:val="en-US"/>
        </w:rPr>
        <w:t xml:space="preserve"> occur in rating scales.</w:t>
      </w:r>
    </w:p>
    <w:p w14:paraId="0F634E32" w14:textId="6FBB90B5" w:rsidR="00C07F34" w:rsidRPr="00965BDB" w:rsidRDefault="00C07F34" w:rsidP="00DB32D0">
      <w:pPr>
        <w:ind w:firstLine="709"/>
        <w:rPr>
          <w:lang w:val="en-US"/>
        </w:rPr>
      </w:pPr>
    </w:p>
    <w:p w14:paraId="0D4CA5DC" w14:textId="6597D544" w:rsidR="00C07F34" w:rsidRPr="00965BDB" w:rsidRDefault="00C07F34" w:rsidP="00DB32D0">
      <w:pPr>
        <w:ind w:firstLine="709"/>
        <w:jc w:val="center"/>
        <w:rPr>
          <w:sz w:val="32"/>
          <w:szCs w:val="32"/>
          <w:lang w:val="en-US"/>
        </w:rPr>
      </w:pPr>
      <w:r w:rsidRPr="00965BDB">
        <w:rPr>
          <w:sz w:val="32"/>
          <w:szCs w:val="32"/>
          <w:lang w:val="en-US"/>
        </w:rPr>
        <w:t>[Figure 6 about here]</w:t>
      </w:r>
    </w:p>
    <w:p w14:paraId="09AB579C" w14:textId="77777777" w:rsidR="00C07F34" w:rsidRPr="00965BDB" w:rsidRDefault="00C07F34" w:rsidP="00DB32D0">
      <w:pPr>
        <w:ind w:firstLine="709"/>
        <w:rPr>
          <w:lang w:val="en-US"/>
        </w:rPr>
      </w:pPr>
    </w:p>
    <w:p w14:paraId="3B41C070" w14:textId="77777777" w:rsidR="00C07F34" w:rsidRPr="00965BDB" w:rsidRDefault="00C07F34" w:rsidP="00DB32D0">
      <w:pPr>
        <w:pStyle w:val="Acknowledgements"/>
        <w:rPr>
          <w:lang w:val="en-US"/>
        </w:rPr>
      </w:pPr>
    </w:p>
    <w:p w14:paraId="283F44F8" w14:textId="311F29B4" w:rsidR="00C07F34" w:rsidRPr="00965BDB" w:rsidRDefault="00C07F34" w:rsidP="009A7469">
      <w:pPr>
        <w:ind w:firstLine="709"/>
        <w:rPr>
          <w:lang w:val="en-US"/>
        </w:rPr>
      </w:pPr>
      <w:r w:rsidRPr="00965BDB">
        <w:rPr>
          <w:lang w:val="en-US"/>
        </w:rPr>
        <w:t xml:space="preserve">The results are almost identical to the results of the simulation with </w:t>
      </w:r>
      <w:r w:rsidR="00B54DF9">
        <w:rPr>
          <w:lang w:val="en-US"/>
        </w:rPr>
        <w:t>a</w:t>
      </w:r>
      <w:r w:rsidR="00B54DF9" w:rsidRPr="00965BDB">
        <w:rPr>
          <w:lang w:val="en-US"/>
        </w:rPr>
        <w:t xml:space="preserve"> </w:t>
      </w:r>
      <w:r w:rsidRPr="00965BDB">
        <w:rPr>
          <w:lang w:val="en-US"/>
        </w:rPr>
        <w:t xml:space="preserve">normally distributed variable. Thus, </w:t>
      </w:r>
      <w:proofErr w:type="gramStart"/>
      <w:r w:rsidRPr="00965BDB">
        <w:rPr>
          <w:lang w:val="en-US"/>
        </w:rPr>
        <w:t>it is clear that the</w:t>
      </w:r>
      <w:proofErr w:type="gramEnd"/>
      <w:r w:rsidRPr="00965BDB">
        <w:rPr>
          <w:lang w:val="en-US"/>
        </w:rPr>
        <w:t xml:space="preserve"> parametric t-test is robust to violations of the normality assumption. Again, it is recommended that the sample size chosen when calculating the optimal sample size should be approximately 25% larger if the intended power is to be achieved. Tables 5</w:t>
      </w:r>
      <w:r w:rsidR="00176481">
        <w:rPr>
          <w:lang w:val="en-US"/>
        </w:rPr>
        <w:t>–</w:t>
      </w:r>
      <w:r w:rsidRPr="00965BDB">
        <w:rPr>
          <w:lang w:val="en-US"/>
        </w:rPr>
        <w:t>8 show the results in detail.</w:t>
      </w:r>
    </w:p>
    <w:p w14:paraId="29962625" w14:textId="7F318AA0" w:rsidR="00C07F34" w:rsidRPr="00965BDB" w:rsidRDefault="00C07F34" w:rsidP="00DB32D0">
      <w:pPr>
        <w:pStyle w:val="Acknowledgements"/>
        <w:rPr>
          <w:lang w:val="en-US"/>
        </w:rPr>
      </w:pPr>
    </w:p>
    <w:p w14:paraId="5857F7B2" w14:textId="06A919EE" w:rsidR="00C07F34" w:rsidRPr="00965BDB" w:rsidRDefault="00C07F34" w:rsidP="00DB32D0">
      <w:pPr>
        <w:ind w:firstLine="709"/>
        <w:jc w:val="center"/>
        <w:rPr>
          <w:sz w:val="32"/>
          <w:szCs w:val="32"/>
          <w:lang w:val="en-US"/>
        </w:rPr>
      </w:pPr>
      <w:r w:rsidRPr="00965BDB">
        <w:rPr>
          <w:sz w:val="32"/>
          <w:szCs w:val="32"/>
          <w:lang w:val="en-US"/>
        </w:rPr>
        <w:t>[Tables 6-9 about here]</w:t>
      </w:r>
    </w:p>
    <w:p w14:paraId="2AA007CC" w14:textId="77777777" w:rsidR="00C07F34" w:rsidRPr="00965BDB" w:rsidRDefault="00C07F34" w:rsidP="00DB32D0">
      <w:pPr>
        <w:rPr>
          <w:lang w:val="en-US"/>
        </w:rPr>
      </w:pPr>
    </w:p>
    <w:p w14:paraId="7E17C3F6" w14:textId="138FA919" w:rsidR="00C07F34" w:rsidRPr="00965BDB" w:rsidRDefault="00C07F34" w:rsidP="00DB32D0">
      <w:pPr>
        <w:pStyle w:val="CitaviBibliographyHeading"/>
        <w:rPr>
          <w:rFonts w:ascii="Times New Roman" w:eastAsiaTheme="minorHAnsi" w:hAnsi="Times New Roman" w:cs="Times New Roman"/>
          <w:color w:val="auto"/>
          <w:sz w:val="24"/>
          <w:szCs w:val="24"/>
        </w:rPr>
      </w:pPr>
      <w:r w:rsidRPr="00965BDB">
        <w:rPr>
          <w:rFonts w:ascii="Times New Roman" w:eastAsiaTheme="minorHAnsi" w:hAnsi="Times New Roman" w:cs="Times New Roman"/>
          <w:b/>
          <w:bCs/>
          <w:color w:val="auto"/>
          <w:sz w:val="24"/>
          <w:szCs w:val="24"/>
        </w:rPr>
        <w:t>Discussion</w:t>
      </w:r>
    </w:p>
    <w:p w14:paraId="70C5B3E4" w14:textId="65DE706E" w:rsidR="00C07F34" w:rsidRPr="00965BDB" w:rsidRDefault="00C07F34" w:rsidP="009A7469">
      <w:pPr>
        <w:pStyle w:val="CitaviBibliographyHeading"/>
        <w:keepNext w:val="0"/>
        <w:keepLines w:val="0"/>
        <w:jc w:val="left"/>
        <w:outlineLvl w:val="9"/>
        <w:rPr>
          <w:rFonts w:ascii="Times New Roman" w:eastAsiaTheme="minorHAnsi" w:hAnsi="Times New Roman" w:cs="Times New Roman"/>
          <w:color w:val="auto"/>
          <w:sz w:val="24"/>
          <w:szCs w:val="24"/>
        </w:rPr>
      </w:pPr>
      <w:r w:rsidRPr="00965BDB">
        <w:rPr>
          <w:rFonts w:ascii="Times New Roman" w:eastAsiaTheme="minorHAnsi" w:hAnsi="Times New Roman" w:cs="Times New Roman"/>
          <w:color w:val="auto"/>
          <w:sz w:val="24"/>
          <w:szCs w:val="24"/>
        </w:rPr>
        <w:t xml:space="preserve">Based on the results of the simulation, it can be </w:t>
      </w:r>
      <w:r w:rsidR="000A1667">
        <w:rPr>
          <w:rFonts w:ascii="Times New Roman" w:eastAsiaTheme="minorHAnsi" w:hAnsi="Times New Roman" w:cs="Times New Roman"/>
          <w:color w:val="auto"/>
          <w:sz w:val="24"/>
          <w:szCs w:val="24"/>
        </w:rPr>
        <w:t>concluded</w:t>
      </w:r>
      <w:r w:rsidRPr="00965BDB">
        <w:rPr>
          <w:rFonts w:ascii="Times New Roman" w:eastAsiaTheme="minorHAnsi" w:hAnsi="Times New Roman" w:cs="Times New Roman"/>
          <w:color w:val="auto"/>
          <w:sz w:val="24"/>
          <w:szCs w:val="24"/>
        </w:rPr>
        <w:t xml:space="preserve"> that rating scales can be treated as metrically scaled. The associated consequence of being able to use parametric procedures leads to a higher study power. A disadvantage cannot be identified </w:t>
      </w:r>
      <w:proofErr w:type="gramStart"/>
      <w:r w:rsidRPr="00965BDB">
        <w:rPr>
          <w:rFonts w:ascii="Times New Roman" w:eastAsiaTheme="minorHAnsi" w:hAnsi="Times New Roman" w:cs="Times New Roman"/>
          <w:color w:val="auto"/>
          <w:sz w:val="24"/>
          <w:szCs w:val="24"/>
        </w:rPr>
        <w:t>on the basis of</w:t>
      </w:r>
      <w:proofErr w:type="gramEnd"/>
      <w:r w:rsidRPr="00965BDB">
        <w:rPr>
          <w:rFonts w:ascii="Times New Roman" w:eastAsiaTheme="minorHAnsi" w:hAnsi="Times New Roman" w:cs="Times New Roman"/>
          <w:color w:val="auto"/>
          <w:sz w:val="24"/>
          <w:szCs w:val="24"/>
        </w:rPr>
        <w:t xml:space="preserve"> the present results.</w:t>
      </w:r>
    </w:p>
    <w:p w14:paraId="09A0A3F0" w14:textId="621767AE" w:rsidR="00C07F34" w:rsidRPr="00965BDB" w:rsidRDefault="00C07F34" w:rsidP="009A7469">
      <w:pPr>
        <w:pStyle w:val="CitaviBibliographyHeading"/>
        <w:keepNext w:val="0"/>
        <w:keepLines w:val="0"/>
        <w:ind w:firstLine="709"/>
        <w:jc w:val="left"/>
        <w:outlineLvl w:val="9"/>
        <w:rPr>
          <w:rFonts w:ascii="Times New Roman" w:eastAsiaTheme="minorHAnsi" w:hAnsi="Times New Roman" w:cs="Times New Roman"/>
          <w:color w:val="auto"/>
          <w:sz w:val="24"/>
          <w:szCs w:val="24"/>
        </w:rPr>
      </w:pPr>
      <w:r w:rsidRPr="00965BDB">
        <w:rPr>
          <w:rFonts w:ascii="Times New Roman" w:eastAsiaTheme="minorHAnsi" w:hAnsi="Times New Roman" w:cs="Times New Roman"/>
          <w:color w:val="auto"/>
          <w:sz w:val="24"/>
          <w:szCs w:val="24"/>
        </w:rPr>
        <w:t xml:space="preserve">However, samples that are too small significantly reduce the probability of finding an effect. Therefore, it would be advisable to always calculate the optimal </w:t>
      </w:r>
      <w:r w:rsidRPr="00965BDB">
        <w:rPr>
          <w:rFonts w:ascii="Times New Roman" w:eastAsiaTheme="minorHAnsi" w:hAnsi="Times New Roman" w:cs="Times New Roman"/>
          <w:color w:val="auto"/>
          <w:sz w:val="24"/>
          <w:szCs w:val="24"/>
        </w:rPr>
        <w:lastRenderedPageBreak/>
        <w:t>sample size in advance and, in the case of rating scales, add an extra 25% or so. A sample that is too small will often not yield the desired result. This is a wasted opportunity and therefore a waste of resources. A sample that is too large is also a waste of resources because the desired effect could have been detected with less effort. Nevertheless, a sample that is too large is considered more advantageous than one that is too small.</w:t>
      </w:r>
    </w:p>
    <w:p w14:paraId="4A4B0B36" w14:textId="1D315BEF" w:rsidR="00C07F34" w:rsidRPr="00965BDB" w:rsidRDefault="00C07F34" w:rsidP="00DB32D0">
      <w:pPr>
        <w:pStyle w:val="CitaviBibliographyHeading"/>
        <w:rPr>
          <w:rFonts w:ascii="Open Sans" w:hAnsi="Open Sans" w:cs="Open Sans"/>
          <w:color w:val="333333"/>
        </w:rPr>
      </w:pPr>
      <w:r w:rsidRPr="00965BDB">
        <w:rPr>
          <w:rFonts w:ascii="Times New Roman" w:eastAsiaTheme="minorHAnsi" w:hAnsi="Times New Roman" w:cs="Times New Roman"/>
          <w:b/>
          <w:bCs/>
          <w:color w:val="auto"/>
          <w:sz w:val="24"/>
          <w:szCs w:val="24"/>
        </w:rPr>
        <w:t>Disclosure</w:t>
      </w:r>
      <w:r w:rsidRPr="00965BDB">
        <w:rPr>
          <w:rFonts w:ascii="Open Sans" w:hAnsi="Open Sans" w:cs="Open Sans"/>
          <w:color w:val="333333"/>
        </w:rPr>
        <w:t xml:space="preserve"> </w:t>
      </w:r>
      <w:r w:rsidRPr="00965BDB">
        <w:rPr>
          <w:rFonts w:ascii="Times New Roman" w:eastAsiaTheme="minorHAnsi" w:hAnsi="Times New Roman" w:cs="Times New Roman"/>
          <w:b/>
          <w:bCs/>
          <w:color w:val="auto"/>
          <w:sz w:val="24"/>
          <w:szCs w:val="24"/>
        </w:rPr>
        <w:t>statement</w:t>
      </w:r>
    </w:p>
    <w:p w14:paraId="3BFA05BD" w14:textId="157E2E49" w:rsidR="00C07F34" w:rsidRPr="00965BDB" w:rsidRDefault="00C07F34" w:rsidP="009A7469">
      <w:pPr>
        <w:pStyle w:val="CitaviBibliographyHeading"/>
        <w:keepNext w:val="0"/>
        <w:keepLines w:val="0"/>
        <w:outlineLvl w:val="9"/>
        <w:rPr>
          <w:rFonts w:ascii="Times New Roman" w:eastAsiaTheme="minorHAnsi" w:hAnsi="Times New Roman" w:cs="Times New Roman"/>
          <w:color w:val="auto"/>
          <w:sz w:val="24"/>
          <w:szCs w:val="24"/>
        </w:rPr>
      </w:pPr>
      <w:r w:rsidRPr="00965BDB">
        <w:rPr>
          <w:rFonts w:ascii="Times New Roman" w:eastAsiaTheme="minorHAnsi" w:hAnsi="Times New Roman" w:cs="Times New Roman"/>
          <w:color w:val="auto"/>
          <w:sz w:val="24"/>
          <w:szCs w:val="24"/>
        </w:rPr>
        <w:t>No potential conflict of interest was reported by the author.</w:t>
      </w:r>
    </w:p>
    <w:p w14:paraId="70DC30DA" w14:textId="07AC258F" w:rsidR="00C07F34" w:rsidRPr="00965BDB" w:rsidRDefault="00C07F34" w:rsidP="00DB32D0">
      <w:pPr>
        <w:spacing w:line="240" w:lineRule="auto"/>
        <w:rPr>
          <w:sz w:val="22"/>
          <w:lang w:val="en-US"/>
        </w:rPr>
      </w:pPr>
      <w:r w:rsidRPr="00965BDB">
        <w:rPr>
          <w:lang w:val="en-US"/>
        </w:rPr>
        <w:br w:type="page"/>
      </w:r>
    </w:p>
    <w:p w14:paraId="42094259" w14:textId="5EC662E6" w:rsidR="00920360" w:rsidRDefault="00920360" w:rsidP="00920360">
      <w:pPr>
        <w:pStyle w:val="Tabletitle"/>
        <w:keepNext/>
        <w:outlineLvl w:val="0"/>
        <w:rPr>
          <w:lang w:val="en-US"/>
        </w:rPr>
      </w:pPr>
      <w:r>
        <w:rPr>
          <w:b/>
          <w:bCs/>
          <w:lang w:val="en-US"/>
        </w:rPr>
        <w:lastRenderedPageBreak/>
        <w:t>References</w:t>
      </w:r>
    </w:p>
    <w:p w14:paraId="46B2F2ED" w14:textId="6595E1EE" w:rsidR="00920360" w:rsidRPr="00920360" w:rsidRDefault="00920360" w:rsidP="00920360">
      <w:pPr>
        <w:pStyle w:val="Tabletitle"/>
        <w:keepNext/>
        <w:outlineLvl w:val="0"/>
        <w:rPr>
          <w:lang w:val="en-US"/>
        </w:rPr>
      </w:pPr>
      <w:r w:rsidRPr="00920360">
        <w:rPr>
          <w:lang w:val="en-US"/>
        </w:rPr>
        <w:t>Allen, I. Elaine; Seaman, Christopher A. (2007): Likert scales and data analyses. In: Quality progress 40 (7), S. 64–65.</w:t>
      </w:r>
    </w:p>
    <w:p w14:paraId="5A1E53A0" w14:textId="77777777" w:rsidR="00920360" w:rsidRPr="00920360" w:rsidRDefault="00920360" w:rsidP="00920360">
      <w:pPr>
        <w:pStyle w:val="Tabletitle"/>
        <w:keepNext/>
        <w:outlineLvl w:val="0"/>
        <w:rPr>
          <w:lang w:val="de-AT"/>
        </w:rPr>
      </w:pPr>
      <w:r w:rsidRPr="00920360">
        <w:rPr>
          <w:lang w:val="en-US"/>
        </w:rPr>
        <w:t xml:space="preserve">Boone, Harry N.; Boone, Deborah A. (2012): Analyzing </w:t>
      </w:r>
      <w:proofErr w:type="spellStart"/>
      <w:r w:rsidRPr="00920360">
        <w:rPr>
          <w:lang w:val="en-US"/>
        </w:rPr>
        <w:t>likert</w:t>
      </w:r>
      <w:proofErr w:type="spellEnd"/>
      <w:r w:rsidRPr="00920360">
        <w:rPr>
          <w:lang w:val="en-US"/>
        </w:rPr>
        <w:t xml:space="preserve"> data. </w:t>
      </w:r>
      <w:r w:rsidRPr="00920360">
        <w:rPr>
          <w:lang w:val="de-AT"/>
        </w:rPr>
        <w:t xml:space="preserve">In: Journal </w:t>
      </w:r>
      <w:proofErr w:type="spellStart"/>
      <w:r w:rsidRPr="00920360">
        <w:rPr>
          <w:lang w:val="de-AT"/>
        </w:rPr>
        <w:t>of</w:t>
      </w:r>
      <w:proofErr w:type="spellEnd"/>
      <w:r w:rsidRPr="00920360">
        <w:rPr>
          <w:lang w:val="de-AT"/>
        </w:rPr>
        <w:t xml:space="preserve"> </w:t>
      </w:r>
      <w:proofErr w:type="spellStart"/>
      <w:r w:rsidRPr="00920360">
        <w:rPr>
          <w:lang w:val="de-AT"/>
        </w:rPr>
        <w:t>extension</w:t>
      </w:r>
      <w:proofErr w:type="spellEnd"/>
      <w:r w:rsidRPr="00920360">
        <w:rPr>
          <w:lang w:val="de-AT"/>
        </w:rPr>
        <w:t xml:space="preserve"> 50 (2), S. 1–5.</w:t>
      </w:r>
    </w:p>
    <w:p w14:paraId="587AFFAF" w14:textId="77777777" w:rsidR="00920360" w:rsidRPr="00920360" w:rsidRDefault="00920360" w:rsidP="00920360">
      <w:pPr>
        <w:pStyle w:val="Tabletitle"/>
        <w:keepNext/>
        <w:outlineLvl w:val="0"/>
        <w:rPr>
          <w:lang w:val="de-AT"/>
        </w:rPr>
      </w:pPr>
      <w:r w:rsidRPr="00920360">
        <w:rPr>
          <w:lang w:val="de-AT"/>
        </w:rPr>
        <w:t xml:space="preserve">Bortz, Jürgen; Schuster, Christof (2011): Statistik für </w:t>
      </w:r>
      <w:proofErr w:type="spellStart"/>
      <w:r w:rsidRPr="00920360">
        <w:rPr>
          <w:lang w:val="de-AT"/>
        </w:rPr>
        <w:t>Human-und</w:t>
      </w:r>
      <w:proofErr w:type="spellEnd"/>
      <w:r w:rsidRPr="00920360">
        <w:rPr>
          <w:lang w:val="de-AT"/>
        </w:rPr>
        <w:t xml:space="preserve"> Sozialwissenschaftler: Limitierte Sonderausgabe: Springer-Verlag.</w:t>
      </w:r>
    </w:p>
    <w:p w14:paraId="01AFBF42" w14:textId="77777777" w:rsidR="00920360" w:rsidRPr="00920360" w:rsidRDefault="00920360" w:rsidP="00920360">
      <w:pPr>
        <w:pStyle w:val="Tabletitle"/>
        <w:keepNext/>
        <w:outlineLvl w:val="0"/>
        <w:rPr>
          <w:lang w:val="de-AT"/>
        </w:rPr>
      </w:pPr>
      <w:r w:rsidRPr="00920360">
        <w:rPr>
          <w:lang w:val="de-AT"/>
        </w:rPr>
        <w:t>Bühner, Markus; Ziegler, Matthias (2009): Statistik für Psychologen und Sozialwissenschaftler: Pearson Deutschland GmbH.</w:t>
      </w:r>
    </w:p>
    <w:p w14:paraId="4E4902EB" w14:textId="77777777" w:rsidR="00920360" w:rsidRPr="00920360" w:rsidRDefault="00920360" w:rsidP="00920360">
      <w:pPr>
        <w:pStyle w:val="Tabletitle"/>
        <w:keepNext/>
        <w:outlineLvl w:val="0"/>
        <w:rPr>
          <w:lang w:val="en-US"/>
        </w:rPr>
      </w:pPr>
      <w:r w:rsidRPr="00920360">
        <w:rPr>
          <w:lang w:val="en-US"/>
        </w:rPr>
        <w:t xml:space="preserve">Burger, Joep; van </w:t>
      </w:r>
      <w:proofErr w:type="spellStart"/>
      <w:r w:rsidRPr="00920360">
        <w:rPr>
          <w:lang w:val="en-US"/>
        </w:rPr>
        <w:t>Beuningen</w:t>
      </w:r>
      <w:proofErr w:type="spellEnd"/>
      <w:r w:rsidRPr="00920360">
        <w:rPr>
          <w:lang w:val="en-US"/>
        </w:rPr>
        <w:t>, Jacqueline (2020): Measuring well-being dispersion on discrete rating scales. In: Soc Indic Res. DOI: 10.1007/s11205-020-02275-1.</w:t>
      </w:r>
    </w:p>
    <w:p w14:paraId="6201D733" w14:textId="77777777" w:rsidR="00920360" w:rsidRPr="00920360" w:rsidRDefault="00920360" w:rsidP="00920360">
      <w:pPr>
        <w:pStyle w:val="Tabletitle"/>
        <w:keepNext/>
        <w:outlineLvl w:val="0"/>
        <w:rPr>
          <w:lang w:val="en-US"/>
        </w:rPr>
      </w:pPr>
      <w:proofErr w:type="spellStart"/>
      <w:r w:rsidRPr="00920360">
        <w:rPr>
          <w:lang w:val="en-US"/>
        </w:rPr>
        <w:t>Carifio</w:t>
      </w:r>
      <w:proofErr w:type="spellEnd"/>
      <w:r w:rsidRPr="00920360">
        <w:rPr>
          <w:lang w:val="en-US"/>
        </w:rPr>
        <w:t>, James; Perla, Rocco J. (2007): Ten Common Misunderstandings, Misconceptions, Persistent Myths and Urban Legends about Likert Scales and Likert Response Formats and their Antidotes. In: J. of Social Sciences 3 (3), S. 106–116. DOI: 10.3844/jssp.2007.106.116.</w:t>
      </w:r>
    </w:p>
    <w:p w14:paraId="7BA9AA99" w14:textId="77777777" w:rsidR="00920360" w:rsidRPr="00920360" w:rsidRDefault="00920360" w:rsidP="00920360">
      <w:pPr>
        <w:pStyle w:val="Tabletitle"/>
        <w:keepNext/>
        <w:outlineLvl w:val="0"/>
        <w:rPr>
          <w:lang w:val="en-US"/>
        </w:rPr>
      </w:pPr>
      <w:r w:rsidRPr="00920360">
        <w:rPr>
          <w:lang w:val="en-US"/>
        </w:rPr>
        <w:t>Christophersen, Timo; Konradt, Udo (2011): Reliability, validity, and sensitivity of a single-item measure of online store usability. In: International Journal of Human-Computer Studies 69 (4), S. 269–280. DOI: 10.1016/j.ijhcs.2010.10.005.</w:t>
      </w:r>
    </w:p>
    <w:p w14:paraId="37029F14" w14:textId="77777777" w:rsidR="00920360" w:rsidRPr="00920360" w:rsidRDefault="00920360" w:rsidP="00920360">
      <w:pPr>
        <w:pStyle w:val="Tabletitle"/>
        <w:keepNext/>
        <w:outlineLvl w:val="0"/>
        <w:rPr>
          <w:lang w:val="en-US"/>
        </w:rPr>
      </w:pPr>
      <w:r w:rsidRPr="00920360">
        <w:rPr>
          <w:lang w:val="en-US"/>
        </w:rPr>
        <w:t xml:space="preserve">Cohen, Yosef; Cohen, Jeremiah Y. (2008): Statistics and Data with R: an applied approach through examples: John </w:t>
      </w:r>
      <w:proofErr w:type="spellStart"/>
      <w:r w:rsidRPr="00920360">
        <w:rPr>
          <w:lang w:val="en-US"/>
        </w:rPr>
        <w:t>wiley</w:t>
      </w:r>
      <w:proofErr w:type="spellEnd"/>
      <w:r w:rsidRPr="00920360">
        <w:rPr>
          <w:lang w:val="en-US"/>
        </w:rPr>
        <w:t xml:space="preserve"> &amp; sons.</w:t>
      </w:r>
    </w:p>
    <w:p w14:paraId="7A9D8087" w14:textId="77777777" w:rsidR="00920360" w:rsidRPr="00920360" w:rsidRDefault="00920360" w:rsidP="00920360">
      <w:pPr>
        <w:pStyle w:val="Tabletitle"/>
        <w:keepNext/>
        <w:outlineLvl w:val="0"/>
        <w:rPr>
          <w:lang w:val="de-AT"/>
        </w:rPr>
      </w:pPr>
      <w:r w:rsidRPr="00920360">
        <w:rPr>
          <w:lang w:val="en-US"/>
        </w:rPr>
        <w:t xml:space="preserve">Diener, Ed; Wirtz, Derrick; Tov, William; Kim-Prieto, Chu; Choi, Dong-won; Oishi, </w:t>
      </w:r>
      <w:proofErr w:type="spellStart"/>
      <w:r w:rsidRPr="00920360">
        <w:rPr>
          <w:lang w:val="en-US"/>
        </w:rPr>
        <w:t>Shigehiro</w:t>
      </w:r>
      <w:proofErr w:type="spellEnd"/>
      <w:r w:rsidRPr="00920360">
        <w:rPr>
          <w:lang w:val="en-US"/>
        </w:rPr>
        <w:t xml:space="preserve">; Biswas-Diener, Robert (2010): New Well-being Measures: Short Scales to </w:t>
      </w:r>
      <w:r w:rsidRPr="00920360">
        <w:rPr>
          <w:lang w:val="en-US"/>
        </w:rPr>
        <w:lastRenderedPageBreak/>
        <w:t xml:space="preserve">Assess Flourishing and Positive and Negative Feelings. </w:t>
      </w:r>
      <w:r w:rsidRPr="00920360">
        <w:rPr>
          <w:lang w:val="de-AT"/>
        </w:rPr>
        <w:t xml:space="preserve">In: </w:t>
      </w:r>
      <w:proofErr w:type="spellStart"/>
      <w:r w:rsidRPr="00920360">
        <w:rPr>
          <w:lang w:val="de-AT"/>
        </w:rPr>
        <w:t>Soc</w:t>
      </w:r>
      <w:proofErr w:type="spellEnd"/>
      <w:r w:rsidRPr="00920360">
        <w:rPr>
          <w:lang w:val="de-AT"/>
        </w:rPr>
        <w:t xml:space="preserve"> </w:t>
      </w:r>
      <w:proofErr w:type="spellStart"/>
      <w:r w:rsidRPr="00920360">
        <w:rPr>
          <w:lang w:val="de-AT"/>
        </w:rPr>
        <w:t>Indic</w:t>
      </w:r>
      <w:proofErr w:type="spellEnd"/>
      <w:r w:rsidRPr="00920360">
        <w:rPr>
          <w:lang w:val="de-AT"/>
        </w:rPr>
        <w:t xml:space="preserve"> Res 97 (2), S. 143–156. DOI: 10.1007/s11205-009-9493-y.</w:t>
      </w:r>
    </w:p>
    <w:p w14:paraId="0758B913" w14:textId="77777777" w:rsidR="00920360" w:rsidRPr="00920360" w:rsidRDefault="00920360" w:rsidP="00920360">
      <w:pPr>
        <w:pStyle w:val="Tabletitle"/>
        <w:keepNext/>
        <w:outlineLvl w:val="0"/>
        <w:rPr>
          <w:lang w:val="en-US"/>
        </w:rPr>
      </w:pPr>
      <w:r w:rsidRPr="00920360">
        <w:rPr>
          <w:lang w:val="de-AT"/>
        </w:rPr>
        <w:t xml:space="preserve">Döring, Nicola; Bortz, Jürgen (2016): Forschungsmethoden und </w:t>
      </w:r>
      <w:proofErr w:type="spellStart"/>
      <w:r w:rsidRPr="00920360">
        <w:rPr>
          <w:lang w:val="de-AT"/>
        </w:rPr>
        <w:t>evaluation</w:t>
      </w:r>
      <w:proofErr w:type="spellEnd"/>
      <w:r w:rsidRPr="00920360">
        <w:rPr>
          <w:lang w:val="de-AT"/>
        </w:rPr>
        <w:t xml:space="preserve">. </w:t>
      </w:r>
      <w:r w:rsidRPr="00920360">
        <w:rPr>
          <w:lang w:val="en-US"/>
        </w:rPr>
        <w:t xml:space="preserve">In: Wiesbaden: </w:t>
      </w:r>
      <w:proofErr w:type="spellStart"/>
      <w:r w:rsidRPr="00920360">
        <w:rPr>
          <w:lang w:val="en-US"/>
        </w:rPr>
        <w:t>Springerverlag</w:t>
      </w:r>
      <w:proofErr w:type="spellEnd"/>
      <w:r w:rsidRPr="00920360">
        <w:rPr>
          <w:lang w:val="en-US"/>
        </w:rPr>
        <w:t>.</w:t>
      </w:r>
    </w:p>
    <w:p w14:paraId="71C0D575" w14:textId="77777777" w:rsidR="00920360" w:rsidRPr="00920360" w:rsidRDefault="00920360" w:rsidP="00920360">
      <w:pPr>
        <w:pStyle w:val="Tabletitle"/>
        <w:keepNext/>
        <w:outlineLvl w:val="0"/>
        <w:rPr>
          <w:lang w:val="en-US"/>
        </w:rPr>
      </w:pPr>
      <w:r w:rsidRPr="00920360">
        <w:rPr>
          <w:lang w:val="en-US"/>
        </w:rPr>
        <w:t xml:space="preserve">Fuchs, Christoph; Diamantopoulos, </w:t>
      </w:r>
      <w:proofErr w:type="spellStart"/>
      <w:r w:rsidRPr="00920360">
        <w:rPr>
          <w:lang w:val="en-US"/>
        </w:rPr>
        <w:t>Adamantios</w:t>
      </w:r>
      <w:proofErr w:type="spellEnd"/>
      <w:r w:rsidRPr="00920360">
        <w:rPr>
          <w:lang w:val="en-US"/>
        </w:rPr>
        <w:t xml:space="preserve"> (2009): Using single-item measures for construct measurement in management research: Conceptual issues and application guidelines. In: Die </w:t>
      </w:r>
      <w:proofErr w:type="spellStart"/>
      <w:r w:rsidRPr="00920360">
        <w:rPr>
          <w:lang w:val="en-US"/>
        </w:rPr>
        <w:t>Betriebswirtschaft</w:t>
      </w:r>
      <w:proofErr w:type="spellEnd"/>
      <w:r w:rsidRPr="00920360">
        <w:rPr>
          <w:lang w:val="en-US"/>
        </w:rPr>
        <w:t xml:space="preserve"> 69 (2), S. 195.</w:t>
      </w:r>
    </w:p>
    <w:p w14:paraId="0DC9D541" w14:textId="77777777" w:rsidR="00920360" w:rsidRPr="00920360" w:rsidRDefault="00920360" w:rsidP="00920360">
      <w:pPr>
        <w:pStyle w:val="Tabletitle"/>
        <w:keepNext/>
        <w:outlineLvl w:val="0"/>
        <w:rPr>
          <w:lang w:val="en-US"/>
        </w:rPr>
      </w:pPr>
      <w:r w:rsidRPr="00920360">
        <w:rPr>
          <w:lang w:val="en-US"/>
        </w:rPr>
        <w:t xml:space="preserve">González-Cabrera, Joaquín; </w:t>
      </w:r>
      <w:proofErr w:type="spellStart"/>
      <w:r w:rsidRPr="00920360">
        <w:rPr>
          <w:lang w:val="en-US"/>
        </w:rPr>
        <w:t>Machimbarrena</w:t>
      </w:r>
      <w:proofErr w:type="spellEnd"/>
      <w:r w:rsidRPr="00920360">
        <w:rPr>
          <w:lang w:val="en-US"/>
        </w:rPr>
        <w:t xml:space="preserve">, Juan M.; </w:t>
      </w:r>
      <w:proofErr w:type="spellStart"/>
      <w:r w:rsidRPr="00920360">
        <w:rPr>
          <w:lang w:val="en-US"/>
        </w:rPr>
        <w:t>Beranuy</w:t>
      </w:r>
      <w:proofErr w:type="spellEnd"/>
      <w:r w:rsidRPr="00920360">
        <w:rPr>
          <w:lang w:val="en-US"/>
        </w:rPr>
        <w:t>, Marta; Pérez-Rodríguez, Priscila; Fernández-González, Liria; Calvete, Esther (2020): Design and Measurement Properties of the Online Gambling Disorder Questionnaire (OGD-Q) in Spanish Adolescents. In: Journal of clinical medicine 9 (1). DOI: 10.3390/jcm9010120.</w:t>
      </w:r>
    </w:p>
    <w:p w14:paraId="1306D9E2" w14:textId="77777777" w:rsidR="00920360" w:rsidRPr="00920360" w:rsidRDefault="00920360" w:rsidP="00920360">
      <w:pPr>
        <w:pStyle w:val="Tabletitle"/>
        <w:keepNext/>
        <w:outlineLvl w:val="0"/>
        <w:rPr>
          <w:lang w:val="en-US"/>
        </w:rPr>
      </w:pPr>
      <w:r w:rsidRPr="00920360">
        <w:rPr>
          <w:lang w:val="en-US"/>
        </w:rPr>
        <w:t xml:space="preserve">Hoeppner, Bettina B.; Kelly, John F.; </w:t>
      </w:r>
      <w:proofErr w:type="spellStart"/>
      <w:r w:rsidRPr="00920360">
        <w:rPr>
          <w:lang w:val="en-US"/>
        </w:rPr>
        <w:t>Urbanoski</w:t>
      </w:r>
      <w:proofErr w:type="spellEnd"/>
      <w:r w:rsidRPr="00920360">
        <w:rPr>
          <w:lang w:val="en-US"/>
        </w:rPr>
        <w:t>, Karen A.; Slaymaker, Valerie (2011): Comparative utility of a single-item versus multiple-item measure of self-efficacy in predicting relapse among young adults. In: Journal of substance abuse treatment 41 (3), S. 305–312. DOI: 10.1016/j.jsat.2011.04.005.</w:t>
      </w:r>
    </w:p>
    <w:p w14:paraId="08E18095" w14:textId="77777777" w:rsidR="00920360" w:rsidRPr="00920360" w:rsidRDefault="00920360" w:rsidP="00920360">
      <w:pPr>
        <w:pStyle w:val="Tabletitle"/>
        <w:keepNext/>
        <w:outlineLvl w:val="0"/>
        <w:rPr>
          <w:lang w:val="en-US"/>
        </w:rPr>
      </w:pPr>
      <w:r w:rsidRPr="00920360">
        <w:rPr>
          <w:lang w:val="en-US"/>
        </w:rPr>
        <w:t>Jamieson, Susan (2004): Likert scales: how to (ab) use them. In: Medical education 38 (12), S. 1217–1218.</w:t>
      </w:r>
    </w:p>
    <w:p w14:paraId="4E0E8090" w14:textId="77777777" w:rsidR="00920360" w:rsidRPr="00920360" w:rsidRDefault="00920360" w:rsidP="00920360">
      <w:pPr>
        <w:pStyle w:val="Tabletitle"/>
        <w:keepNext/>
        <w:outlineLvl w:val="0"/>
        <w:rPr>
          <w:lang w:val="en-US"/>
        </w:rPr>
      </w:pPr>
      <w:r w:rsidRPr="00920360">
        <w:rPr>
          <w:lang w:val="en-US"/>
        </w:rPr>
        <w:t>Keng, Shian-Ling; Wong, Yun Yi (2017): Association among self-compassion, childhood invalidation, and borderline personality disorder symptomatology in a Singaporean sample. In: Borderline personality disorder and emotion dysregulation 4 (1), S. 24.</w:t>
      </w:r>
    </w:p>
    <w:p w14:paraId="1D66E324" w14:textId="77777777" w:rsidR="00920360" w:rsidRPr="00920360" w:rsidRDefault="00920360" w:rsidP="00920360">
      <w:pPr>
        <w:pStyle w:val="Tabletitle"/>
        <w:keepNext/>
        <w:outlineLvl w:val="0"/>
        <w:rPr>
          <w:lang w:val="en-US"/>
        </w:rPr>
      </w:pPr>
      <w:proofErr w:type="spellStart"/>
      <w:r w:rsidRPr="00920360">
        <w:rPr>
          <w:lang w:val="en-US"/>
        </w:rPr>
        <w:t>Krivoy</w:t>
      </w:r>
      <w:proofErr w:type="spellEnd"/>
      <w:r w:rsidRPr="00920360">
        <w:rPr>
          <w:lang w:val="en-US"/>
        </w:rPr>
        <w:t xml:space="preserve">, Amir; Onn, Roy; Vilner, Yael; Hochman, Eldar; Weizman, Shira; Paz, Amir et al. (2017): Vitamin D Supplementation in Chronic Schizophrenia Patients Treated with Clozapine: A Randomized, Double-Blind, Placebo-controlled Clinical Trial. In: </w:t>
      </w:r>
      <w:proofErr w:type="spellStart"/>
      <w:r w:rsidRPr="00920360">
        <w:rPr>
          <w:lang w:val="en-US"/>
        </w:rPr>
        <w:t>EBioMedicine</w:t>
      </w:r>
      <w:proofErr w:type="spellEnd"/>
      <w:r w:rsidRPr="00920360">
        <w:rPr>
          <w:lang w:val="en-US"/>
        </w:rPr>
        <w:t xml:space="preserve"> 26, S. 138–145. DOI: 10.1016/j.ebiom.2017.11.027.</w:t>
      </w:r>
    </w:p>
    <w:p w14:paraId="0F2492DB" w14:textId="77777777" w:rsidR="00920360" w:rsidRPr="00920360" w:rsidRDefault="00920360" w:rsidP="00920360">
      <w:pPr>
        <w:pStyle w:val="Tabletitle"/>
        <w:keepNext/>
        <w:outlineLvl w:val="0"/>
        <w:rPr>
          <w:lang w:val="en-US"/>
        </w:rPr>
      </w:pPr>
      <w:r w:rsidRPr="00920360">
        <w:rPr>
          <w:lang w:val="en-US"/>
        </w:rPr>
        <w:t xml:space="preserve">Malhotra, Naresh K.; Mukhopadhyay, Soumya; Liu, Xiaoyan; Dash, </w:t>
      </w:r>
      <w:proofErr w:type="spellStart"/>
      <w:r w:rsidRPr="00920360">
        <w:rPr>
          <w:lang w:val="en-US"/>
        </w:rPr>
        <w:t>Satyabhusan</w:t>
      </w:r>
      <w:proofErr w:type="spellEnd"/>
      <w:r w:rsidRPr="00920360">
        <w:rPr>
          <w:lang w:val="en-US"/>
        </w:rPr>
        <w:t xml:space="preserve"> (2012): One, Few or Many?: An Integrated Framework for Identifying the Items in </w:t>
      </w:r>
      <w:r w:rsidRPr="00920360">
        <w:rPr>
          <w:lang w:val="en-US"/>
        </w:rPr>
        <w:lastRenderedPageBreak/>
        <w:t>Measurement Scales. In: International Journal of Market Research 54 (6), S. 835–862. DOI: 10.2501/IJMR-54-6-835-862.</w:t>
      </w:r>
    </w:p>
    <w:p w14:paraId="09228692" w14:textId="77777777" w:rsidR="00920360" w:rsidRPr="00920360" w:rsidRDefault="00920360" w:rsidP="00920360">
      <w:pPr>
        <w:pStyle w:val="Tabletitle"/>
        <w:keepNext/>
        <w:outlineLvl w:val="0"/>
        <w:rPr>
          <w:lang w:val="en-US"/>
        </w:rPr>
      </w:pPr>
      <w:proofErr w:type="spellStart"/>
      <w:r w:rsidRPr="00920360">
        <w:rPr>
          <w:lang w:val="en-US"/>
        </w:rPr>
        <w:t>Mordeno</w:t>
      </w:r>
      <w:proofErr w:type="spellEnd"/>
      <w:r w:rsidRPr="00920360">
        <w:rPr>
          <w:lang w:val="en-US"/>
        </w:rPr>
        <w:t xml:space="preserve">, </w:t>
      </w:r>
      <w:proofErr w:type="spellStart"/>
      <w:r w:rsidRPr="00920360">
        <w:rPr>
          <w:lang w:val="en-US"/>
        </w:rPr>
        <w:t>Imelu</w:t>
      </w:r>
      <w:proofErr w:type="spellEnd"/>
      <w:r w:rsidRPr="00920360">
        <w:rPr>
          <w:lang w:val="en-US"/>
        </w:rPr>
        <w:t xml:space="preserve"> G.; </w:t>
      </w:r>
      <w:proofErr w:type="spellStart"/>
      <w:r w:rsidRPr="00920360">
        <w:rPr>
          <w:lang w:val="en-US"/>
        </w:rPr>
        <w:t>Nalipay</w:t>
      </w:r>
      <w:proofErr w:type="spellEnd"/>
      <w:r w:rsidRPr="00920360">
        <w:rPr>
          <w:lang w:val="en-US"/>
        </w:rPr>
        <w:t xml:space="preserve">, Ma. Jenina N.; Luzano, Jelli Grace C.; Galela, Debi S.; Ferolino, Michelle Anne L. (2019): Development and validation of a DSM-5-based generalized anxiety disorder self-report Scale: Investigating frequency and intensity rating differences. In: </w:t>
      </w:r>
      <w:proofErr w:type="spellStart"/>
      <w:r w:rsidRPr="00920360">
        <w:rPr>
          <w:lang w:val="en-US"/>
        </w:rPr>
        <w:t>Curr</w:t>
      </w:r>
      <w:proofErr w:type="spellEnd"/>
      <w:r w:rsidRPr="00920360">
        <w:rPr>
          <w:lang w:val="en-US"/>
        </w:rPr>
        <w:t xml:space="preserve"> Psychol. DOI: 10.1007/s12144-019-00475-8.</w:t>
      </w:r>
    </w:p>
    <w:p w14:paraId="0C914C8F" w14:textId="77777777" w:rsidR="00920360" w:rsidRPr="00920360" w:rsidRDefault="00920360" w:rsidP="00920360">
      <w:pPr>
        <w:pStyle w:val="Tabletitle"/>
        <w:keepNext/>
        <w:outlineLvl w:val="0"/>
        <w:rPr>
          <w:lang w:val="en-US"/>
        </w:rPr>
      </w:pPr>
      <w:proofErr w:type="spellStart"/>
      <w:r w:rsidRPr="00920360">
        <w:rPr>
          <w:lang w:val="en-US"/>
        </w:rPr>
        <w:t>Postmes</w:t>
      </w:r>
      <w:proofErr w:type="spellEnd"/>
      <w:r w:rsidRPr="00920360">
        <w:rPr>
          <w:lang w:val="en-US"/>
        </w:rPr>
        <w:t>, Tom; Haslam, S. Alexander; Jans, Lise (2013): A single-item measure of social identification: reliability, validity, and utility. In: The British journal of social psychology 52 (4), S. 597–617. DOI: 10.1111/bjso.12006.</w:t>
      </w:r>
    </w:p>
    <w:p w14:paraId="3D32C24C" w14:textId="77777777" w:rsidR="00920360" w:rsidRPr="00920360" w:rsidRDefault="00920360" w:rsidP="00920360">
      <w:pPr>
        <w:pStyle w:val="Tabletitle"/>
        <w:keepNext/>
        <w:outlineLvl w:val="0"/>
        <w:rPr>
          <w:lang w:val="en-US"/>
        </w:rPr>
      </w:pPr>
      <w:proofErr w:type="spellStart"/>
      <w:r w:rsidRPr="00920360">
        <w:rPr>
          <w:lang w:val="en-US"/>
        </w:rPr>
        <w:t>Streiner</w:t>
      </w:r>
      <w:proofErr w:type="spellEnd"/>
      <w:r w:rsidRPr="00920360">
        <w:rPr>
          <w:lang w:val="en-US"/>
        </w:rPr>
        <w:t>, David L.; Norman, Geoffrey R.; Cairney, John (2016): Health measurement scales: a practical guide to their development and use. In: Care Management Journals 17 (3).</w:t>
      </w:r>
    </w:p>
    <w:p w14:paraId="5F54A7DD" w14:textId="77777777" w:rsidR="00920360" w:rsidRPr="00920360" w:rsidRDefault="00920360" w:rsidP="00920360">
      <w:pPr>
        <w:pStyle w:val="Tabletitle"/>
        <w:keepNext/>
        <w:outlineLvl w:val="0"/>
        <w:rPr>
          <w:lang w:val="en-US"/>
        </w:rPr>
      </w:pPr>
      <w:r w:rsidRPr="00920360">
        <w:rPr>
          <w:lang w:val="en-US"/>
        </w:rPr>
        <w:t xml:space="preserve">Sugawara, Hiroko; Tsutsumi, Takahiro; Inada, Ken; </w:t>
      </w:r>
      <w:proofErr w:type="spellStart"/>
      <w:r w:rsidRPr="00920360">
        <w:rPr>
          <w:lang w:val="en-US"/>
        </w:rPr>
        <w:t>Ishigooka</w:t>
      </w:r>
      <w:proofErr w:type="spellEnd"/>
      <w:r w:rsidRPr="00920360">
        <w:rPr>
          <w:lang w:val="en-US"/>
        </w:rPr>
        <w:t xml:space="preserve">, Jun; Hashimoto, Mamoru; </w:t>
      </w:r>
      <w:proofErr w:type="spellStart"/>
      <w:r w:rsidRPr="00920360">
        <w:rPr>
          <w:lang w:val="en-US"/>
        </w:rPr>
        <w:t>Takebayashi</w:t>
      </w:r>
      <w:proofErr w:type="spellEnd"/>
      <w:r w:rsidRPr="00920360">
        <w:rPr>
          <w:lang w:val="en-US"/>
        </w:rPr>
        <w:t>, Minoru; Nishimura, Katsuji (2019): Association between anxious distress in a major depressive episode and bipolarity. In: Neuropsychiatric disease and treatment 15, S. 267–270. DOI: 10.2147/NDT.S188947.</w:t>
      </w:r>
    </w:p>
    <w:p w14:paraId="4DB8A359" w14:textId="77777777" w:rsidR="00920360" w:rsidRPr="00920360" w:rsidRDefault="00920360" w:rsidP="00920360">
      <w:pPr>
        <w:pStyle w:val="Tabletitle"/>
        <w:keepNext/>
        <w:outlineLvl w:val="0"/>
        <w:rPr>
          <w:lang w:val="en-US"/>
        </w:rPr>
      </w:pPr>
      <w:r w:rsidRPr="00920360">
        <w:rPr>
          <w:lang w:val="en-US"/>
        </w:rPr>
        <w:t xml:space="preserve">Wanous, J. P.; </w:t>
      </w:r>
      <w:proofErr w:type="spellStart"/>
      <w:r w:rsidRPr="00920360">
        <w:rPr>
          <w:lang w:val="en-US"/>
        </w:rPr>
        <w:t>Reichers</w:t>
      </w:r>
      <w:proofErr w:type="spellEnd"/>
      <w:r w:rsidRPr="00920360">
        <w:rPr>
          <w:lang w:val="en-US"/>
        </w:rPr>
        <w:t>, A. E.; Hudy, M. J. (1997): Overall job satisfaction: how good are single-item measures? In: The Journal of applied psychology 82 (2), S. 247–252. DOI: 10.1037/0021-9010.82.2.247.</w:t>
      </w:r>
    </w:p>
    <w:p w14:paraId="3149BFFF" w14:textId="24B1F9BF" w:rsidR="00E66188" w:rsidRPr="00965BDB" w:rsidRDefault="005B3FBA" w:rsidP="009A7469">
      <w:pPr>
        <w:pStyle w:val="Tabletitle"/>
        <w:keepNext/>
        <w:outlineLvl w:val="0"/>
        <w:rPr>
          <w:b/>
          <w:bCs/>
          <w:lang w:val="en-US"/>
        </w:rPr>
      </w:pPr>
      <w:r w:rsidRPr="00965BDB">
        <w:rPr>
          <w:lang w:val="en-US"/>
        </w:rPr>
        <w:br w:type="page"/>
      </w:r>
      <w:r w:rsidR="004E56A8" w:rsidRPr="00965BDB">
        <w:rPr>
          <w:b/>
          <w:bCs/>
          <w:lang w:val="en-US"/>
        </w:rPr>
        <w:lastRenderedPageBreak/>
        <w:t>Table</w:t>
      </w:r>
      <w:r w:rsidR="00C07F34" w:rsidRPr="00965BDB">
        <w:rPr>
          <w:b/>
          <w:bCs/>
          <w:lang w:val="en-US"/>
        </w:rPr>
        <w:t>s</w:t>
      </w:r>
    </w:p>
    <w:p w14:paraId="1A833D35" w14:textId="68778698" w:rsidR="00C07F34" w:rsidRPr="00965BDB" w:rsidRDefault="00C07F34" w:rsidP="00DB32D0">
      <w:pPr>
        <w:spacing w:line="240" w:lineRule="auto"/>
        <w:ind w:firstLine="1985"/>
        <w:rPr>
          <w:rFonts w:cstheme="minorBidi"/>
          <w:szCs w:val="22"/>
          <w:lang w:val="en-US"/>
        </w:rPr>
      </w:pPr>
      <w:r w:rsidRPr="00965BDB">
        <w:rPr>
          <w:sz w:val="20"/>
          <w:szCs w:val="20"/>
          <w:lang w:val="en-US"/>
        </w:rPr>
        <w:t>Table 1: Results</w:t>
      </w:r>
      <w:r w:rsidR="000C2C5A">
        <w:rPr>
          <w:sz w:val="20"/>
          <w:szCs w:val="20"/>
          <w:lang w:val="en-US"/>
        </w:rPr>
        <w:t xml:space="preserve"> of</w:t>
      </w:r>
      <w:r w:rsidRPr="00965BDB">
        <w:rPr>
          <w:sz w:val="20"/>
          <w:szCs w:val="20"/>
          <w:lang w:val="en-US"/>
        </w:rPr>
        <w:t xml:space="preserve"> </w:t>
      </w:r>
      <w:r w:rsidR="000C2C5A">
        <w:rPr>
          <w:sz w:val="20"/>
          <w:szCs w:val="20"/>
          <w:lang w:val="en-US"/>
        </w:rPr>
        <w:t>s</w:t>
      </w:r>
      <w:r w:rsidRPr="00965BDB">
        <w:rPr>
          <w:sz w:val="20"/>
          <w:szCs w:val="20"/>
          <w:lang w:val="en-US"/>
        </w:rPr>
        <w:t>imulation</w:t>
      </w:r>
      <w:r w:rsidR="00A500ED">
        <w:rPr>
          <w:sz w:val="20"/>
          <w:szCs w:val="20"/>
          <w:lang w:val="en-US"/>
        </w:rPr>
        <w:t>s</w:t>
      </w:r>
      <w:r w:rsidRPr="00965BDB">
        <w:rPr>
          <w:sz w:val="20"/>
          <w:szCs w:val="20"/>
          <w:lang w:val="en-US"/>
        </w:rPr>
        <w:t xml:space="preserve"> 1a and 1b</w:t>
      </w:r>
    </w:p>
    <w:tbl>
      <w:tblPr>
        <w:tblW w:w="5148" w:type="dxa"/>
        <w:tblInd w:w="2000" w:type="dxa"/>
        <w:tblLook w:val="04A0" w:firstRow="1" w:lastRow="0" w:firstColumn="1" w:lastColumn="0" w:noHBand="0" w:noVBand="1"/>
      </w:tblPr>
      <w:tblGrid>
        <w:gridCol w:w="949"/>
        <w:gridCol w:w="949"/>
        <w:gridCol w:w="1014"/>
        <w:gridCol w:w="36"/>
        <w:gridCol w:w="1213"/>
        <w:gridCol w:w="987"/>
      </w:tblGrid>
      <w:tr w:rsidR="00C07F34" w:rsidRPr="00965BDB" w14:paraId="3AACA9C0" w14:textId="77777777" w:rsidTr="00AD2769">
        <w:tc>
          <w:tcPr>
            <w:tcW w:w="5148" w:type="dxa"/>
            <w:gridSpan w:val="6"/>
            <w:tcBorders>
              <w:top w:val="double" w:sz="4" w:space="0" w:color="auto"/>
              <w:left w:val="nil"/>
              <w:bottom w:val="single" w:sz="6" w:space="0" w:color="000000"/>
              <w:right w:val="nil"/>
            </w:tcBorders>
            <w:shd w:val="clear" w:color="auto" w:fill="auto"/>
            <w:tcMar>
              <w:top w:w="15" w:type="dxa"/>
              <w:left w:w="15" w:type="dxa"/>
              <w:bottom w:w="15" w:type="dxa"/>
              <w:right w:w="15" w:type="dxa"/>
            </w:tcMar>
          </w:tcPr>
          <w:p w14:paraId="37CFD1B4" w14:textId="00677036" w:rsidR="00C07F34" w:rsidRPr="00965BDB" w:rsidRDefault="00C07F34" w:rsidP="00DB32D0">
            <w:pPr>
              <w:spacing w:line="240" w:lineRule="auto"/>
              <w:jc w:val="center"/>
              <w:rPr>
                <w:sz w:val="18"/>
                <w:szCs w:val="18"/>
                <w:lang w:val="en-US"/>
              </w:rPr>
            </w:pPr>
            <w:r w:rsidRPr="00965BDB">
              <w:rPr>
                <w:sz w:val="18"/>
                <w:szCs w:val="18"/>
                <w:lang w:val="en-US"/>
              </w:rPr>
              <w:t xml:space="preserve">Reference: </w:t>
            </w:r>
            <w:r w:rsidR="0028070D">
              <w:rPr>
                <w:sz w:val="18"/>
                <w:szCs w:val="18"/>
                <w:lang w:val="en-US"/>
              </w:rPr>
              <w:t>c</w:t>
            </w:r>
            <w:r w:rsidRPr="00965BDB">
              <w:rPr>
                <w:sz w:val="18"/>
                <w:szCs w:val="18"/>
                <w:lang w:val="en-US"/>
              </w:rPr>
              <w:t>ontin</w:t>
            </w:r>
            <w:r w:rsidR="00A500ED">
              <w:rPr>
                <w:sz w:val="18"/>
                <w:szCs w:val="18"/>
                <w:lang w:val="en-US"/>
              </w:rPr>
              <w:t>u</w:t>
            </w:r>
            <w:r w:rsidRPr="00965BDB">
              <w:rPr>
                <w:sz w:val="18"/>
                <w:szCs w:val="18"/>
                <w:lang w:val="en-US"/>
              </w:rPr>
              <w:t xml:space="preserve">ous </w:t>
            </w:r>
            <w:r w:rsidR="0028070D">
              <w:rPr>
                <w:sz w:val="18"/>
                <w:szCs w:val="18"/>
                <w:lang w:val="en-US"/>
              </w:rPr>
              <w:t>s</w:t>
            </w:r>
            <w:r w:rsidRPr="00965BDB">
              <w:rPr>
                <w:sz w:val="18"/>
                <w:szCs w:val="18"/>
                <w:lang w:val="en-US"/>
              </w:rPr>
              <w:t>cale</w:t>
            </w:r>
          </w:p>
        </w:tc>
      </w:tr>
      <w:tr w:rsidR="00C07F34" w:rsidRPr="00965BDB" w14:paraId="1395420F" w14:textId="77777777" w:rsidTr="00AD2769">
        <w:tc>
          <w:tcPr>
            <w:tcW w:w="949" w:type="dxa"/>
            <w:tcBorders>
              <w:top w:val="single" w:sz="4" w:space="0" w:color="auto"/>
              <w:left w:val="nil"/>
              <w:bottom w:val="single" w:sz="6" w:space="0" w:color="000000"/>
              <w:right w:val="nil"/>
            </w:tcBorders>
            <w:shd w:val="clear" w:color="auto" w:fill="auto"/>
            <w:tcMar>
              <w:top w:w="15" w:type="dxa"/>
              <w:left w:w="15" w:type="dxa"/>
              <w:bottom w:w="15" w:type="dxa"/>
              <w:right w:w="15" w:type="dxa"/>
            </w:tcMar>
          </w:tcPr>
          <w:p w14:paraId="0CF90FE8" w14:textId="77777777" w:rsidR="00C07F34" w:rsidRPr="00965BDB" w:rsidRDefault="00C07F34" w:rsidP="00DB32D0">
            <w:pPr>
              <w:spacing w:line="240" w:lineRule="auto"/>
              <w:rPr>
                <w:i/>
                <w:iCs/>
                <w:sz w:val="18"/>
                <w:szCs w:val="18"/>
                <w:lang w:val="en-US"/>
              </w:rPr>
            </w:pPr>
          </w:p>
        </w:tc>
        <w:tc>
          <w:tcPr>
            <w:tcW w:w="949" w:type="dxa"/>
            <w:tcBorders>
              <w:top w:val="single" w:sz="4" w:space="0" w:color="auto"/>
              <w:left w:val="nil"/>
              <w:bottom w:val="single" w:sz="6" w:space="0" w:color="000000"/>
              <w:right w:val="nil"/>
            </w:tcBorders>
            <w:shd w:val="clear" w:color="auto" w:fill="auto"/>
            <w:tcMar>
              <w:top w:w="15" w:type="dxa"/>
              <w:left w:w="15" w:type="dxa"/>
              <w:bottom w:w="15" w:type="dxa"/>
              <w:right w:w="15" w:type="dxa"/>
            </w:tcMar>
            <w:vAlign w:val="center"/>
            <w:hideMark/>
          </w:tcPr>
          <w:p w14:paraId="49E3F300" w14:textId="77777777" w:rsidR="00C07F34" w:rsidRPr="00965BDB" w:rsidRDefault="00C07F34" w:rsidP="00DB32D0">
            <w:pPr>
              <w:spacing w:line="240" w:lineRule="auto"/>
              <w:rPr>
                <w:i/>
                <w:iCs/>
                <w:sz w:val="18"/>
                <w:szCs w:val="18"/>
                <w:lang w:val="en-US"/>
              </w:rPr>
            </w:pPr>
            <w:r w:rsidRPr="00965BDB">
              <w:rPr>
                <w:i/>
                <w:iCs/>
                <w:sz w:val="18"/>
                <w:szCs w:val="18"/>
                <w:lang w:val="en-US"/>
              </w:rPr>
              <w:t>n</w:t>
            </w:r>
          </w:p>
        </w:tc>
        <w:tc>
          <w:tcPr>
            <w:tcW w:w="1014" w:type="dxa"/>
            <w:tcBorders>
              <w:top w:val="single" w:sz="4" w:space="0" w:color="auto"/>
              <w:left w:val="nil"/>
              <w:bottom w:val="single" w:sz="6" w:space="0" w:color="000000"/>
              <w:right w:val="nil"/>
            </w:tcBorders>
            <w:shd w:val="clear" w:color="auto" w:fill="auto"/>
            <w:tcMar>
              <w:top w:w="113" w:type="dxa"/>
              <w:left w:w="113" w:type="dxa"/>
              <w:bottom w:w="113" w:type="dxa"/>
              <w:right w:w="113" w:type="dxa"/>
            </w:tcMar>
            <w:vAlign w:val="center"/>
            <w:hideMark/>
          </w:tcPr>
          <w:p w14:paraId="48EE17EC" w14:textId="77777777" w:rsidR="00C07F34" w:rsidRPr="00965BDB" w:rsidRDefault="00C07F34" w:rsidP="00DB32D0">
            <w:pPr>
              <w:spacing w:line="240" w:lineRule="auto"/>
              <w:rPr>
                <w:i/>
                <w:iCs/>
                <w:sz w:val="18"/>
                <w:szCs w:val="18"/>
                <w:lang w:val="en-US"/>
              </w:rPr>
            </w:pPr>
            <w:r w:rsidRPr="00965BDB">
              <w:rPr>
                <w:sz w:val="18"/>
                <w:szCs w:val="18"/>
                <w:lang w:val="en-US"/>
              </w:rPr>
              <w:t>t-test</w:t>
            </w:r>
          </w:p>
        </w:tc>
        <w:tc>
          <w:tcPr>
            <w:tcW w:w="0" w:type="auto"/>
            <w:tcBorders>
              <w:top w:val="single" w:sz="4" w:space="0" w:color="auto"/>
              <w:left w:val="nil"/>
              <w:bottom w:val="single" w:sz="6" w:space="0" w:color="000000"/>
              <w:right w:val="nil"/>
            </w:tcBorders>
            <w:shd w:val="clear" w:color="auto" w:fill="auto"/>
            <w:tcMar>
              <w:top w:w="15" w:type="dxa"/>
              <w:left w:w="15" w:type="dxa"/>
              <w:bottom w:w="15" w:type="dxa"/>
              <w:right w:w="15" w:type="dxa"/>
            </w:tcMar>
          </w:tcPr>
          <w:p w14:paraId="7118992A" w14:textId="77777777" w:rsidR="00C07F34" w:rsidRPr="00965BDB" w:rsidRDefault="00C07F34" w:rsidP="00DB32D0">
            <w:pPr>
              <w:spacing w:line="240" w:lineRule="auto"/>
              <w:jc w:val="center"/>
              <w:rPr>
                <w:i/>
                <w:iCs/>
                <w:sz w:val="18"/>
                <w:szCs w:val="18"/>
                <w:lang w:val="en-US"/>
              </w:rPr>
            </w:pPr>
          </w:p>
        </w:tc>
        <w:tc>
          <w:tcPr>
            <w:tcW w:w="1213" w:type="dxa"/>
            <w:tcBorders>
              <w:top w:val="single" w:sz="4" w:space="0" w:color="auto"/>
              <w:left w:val="nil"/>
              <w:bottom w:val="single" w:sz="6" w:space="0" w:color="000000"/>
              <w:right w:val="single" w:sz="4" w:space="0" w:color="auto"/>
            </w:tcBorders>
            <w:shd w:val="clear" w:color="auto" w:fill="auto"/>
            <w:tcMar>
              <w:top w:w="113" w:type="dxa"/>
              <w:left w:w="113" w:type="dxa"/>
              <w:bottom w:w="113" w:type="dxa"/>
              <w:right w:w="113" w:type="dxa"/>
            </w:tcMar>
            <w:vAlign w:val="center"/>
            <w:hideMark/>
          </w:tcPr>
          <w:p w14:paraId="57B8D7B1" w14:textId="77777777" w:rsidR="00C07F34" w:rsidRPr="00965BDB" w:rsidRDefault="00C07F34" w:rsidP="00DB32D0">
            <w:pPr>
              <w:spacing w:line="240" w:lineRule="auto"/>
              <w:jc w:val="center"/>
              <w:rPr>
                <w:i/>
                <w:iCs/>
                <w:sz w:val="18"/>
                <w:szCs w:val="18"/>
                <w:lang w:val="en-US"/>
              </w:rPr>
            </w:pPr>
            <w:r w:rsidRPr="00965BDB">
              <w:rPr>
                <w:sz w:val="18"/>
                <w:szCs w:val="18"/>
                <w:lang w:val="en-US"/>
              </w:rPr>
              <w:t>U-test</w:t>
            </w:r>
          </w:p>
        </w:tc>
        <w:tc>
          <w:tcPr>
            <w:tcW w:w="987" w:type="dxa"/>
            <w:tcBorders>
              <w:top w:val="single" w:sz="4" w:space="0" w:color="auto"/>
              <w:left w:val="single" w:sz="4" w:space="0" w:color="auto"/>
              <w:bottom w:val="single" w:sz="6" w:space="0" w:color="000000"/>
              <w:right w:val="nil"/>
            </w:tcBorders>
            <w:shd w:val="clear" w:color="auto" w:fill="auto"/>
            <w:tcMar>
              <w:top w:w="15" w:type="dxa"/>
              <w:left w:w="15" w:type="dxa"/>
              <w:bottom w:w="15" w:type="dxa"/>
              <w:right w:w="15" w:type="dxa"/>
            </w:tcMar>
          </w:tcPr>
          <w:p w14:paraId="69378FD1" w14:textId="77777777" w:rsidR="00C07F34" w:rsidRPr="00965BDB" w:rsidRDefault="00C07F34" w:rsidP="00DB32D0">
            <w:pPr>
              <w:spacing w:before="100" w:beforeAutospacing="1" w:after="100" w:afterAutospacing="1" w:line="200" w:lineRule="atLeast"/>
              <w:jc w:val="center"/>
              <w:rPr>
                <w:sz w:val="18"/>
                <w:szCs w:val="18"/>
                <w:lang w:val="en-US"/>
              </w:rPr>
            </w:pPr>
          </w:p>
        </w:tc>
      </w:tr>
      <w:tr w:rsidR="00C07F34" w:rsidRPr="00965BDB" w14:paraId="58781FD6" w14:textId="77777777" w:rsidTr="00AD2769">
        <w:tc>
          <w:tcPr>
            <w:tcW w:w="949" w:type="dxa"/>
            <w:vMerge w:val="restart"/>
            <w:tcBorders>
              <w:top w:val="nil"/>
              <w:left w:val="nil"/>
              <w:bottom w:val="single" w:sz="4" w:space="0" w:color="auto"/>
              <w:right w:val="nil"/>
            </w:tcBorders>
            <w:shd w:val="clear" w:color="auto" w:fill="auto"/>
            <w:tcMar>
              <w:top w:w="15" w:type="dxa"/>
              <w:left w:w="15" w:type="dxa"/>
              <w:bottom w:w="15" w:type="dxa"/>
              <w:right w:w="15" w:type="dxa"/>
            </w:tcMar>
            <w:textDirection w:val="btLr"/>
            <w:vAlign w:val="center"/>
            <w:hideMark/>
          </w:tcPr>
          <w:p w14:paraId="6013F9F6" w14:textId="77777777" w:rsidR="00C07F34" w:rsidRPr="00965BDB" w:rsidRDefault="00C07F34" w:rsidP="00DB32D0">
            <w:pPr>
              <w:spacing w:line="240" w:lineRule="auto"/>
              <w:ind w:left="113" w:right="113"/>
              <w:jc w:val="center"/>
              <w:rPr>
                <w:sz w:val="18"/>
                <w:szCs w:val="18"/>
                <w:lang w:val="en-US"/>
              </w:rPr>
            </w:pPr>
            <w:r w:rsidRPr="00965BDB">
              <w:rPr>
                <w:sz w:val="18"/>
                <w:szCs w:val="18"/>
                <w:lang w:val="en-US"/>
              </w:rPr>
              <w:t xml:space="preserve">Samples out of </w:t>
            </w:r>
            <w:r w:rsidRPr="00965BDB">
              <w:rPr>
                <w:b/>
                <w:bCs/>
                <w:sz w:val="18"/>
                <w:szCs w:val="18"/>
                <w:u w:val="single"/>
                <w:lang w:val="en-US"/>
              </w:rPr>
              <w:t>two</w:t>
            </w:r>
            <w:r w:rsidRPr="00965BDB">
              <w:rPr>
                <w:sz w:val="18"/>
                <w:szCs w:val="18"/>
                <w:lang w:val="en-US"/>
              </w:rPr>
              <w:t xml:space="preserve"> populations</w:t>
            </w:r>
          </w:p>
        </w:tc>
        <w:tc>
          <w:tcPr>
            <w:tcW w:w="949" w:type="dxa"/>
            <w:shd w:val="clear" w:color="auto" w:fill="auto"/>
            <w:tcMar>
              <w:top w:w="15" w:type="dxa"/>
              <w:left w:w="15" w:type="dxa"/>
              <w:bottom w:w="15" w:type="dxa"/>
              <w:right w:w="15" w:type="dxa"/>
            </w:tcMar>
            <w:hideMark/>
          </w:tcPr>
          <w:p w14:paraId="79693B43" w14:textId="77777777" w:rsidR="00C07F34" w:rsidRPr="00965BDB" w:rsidRDefault="00C07F34" w:rsidP="00DB32D0">
            <w:pPr>
              <w:spacing w:line="240" w:lineRule="auto"/>
              <w:rPr>
                <w:sz w:val="18"/>
                <w:szCs w:val="18"/>
                <w:lang w:val="en-US"/>
              </w:rPr>
            </w:pPr>
            <w:r w:rsidRPr="00965BDB">
              <w:rPr>
                <w:sz w:val="18"/>
                <w:szCs w:val="18"/>
                <w:lang w:val="en-US"/>
              </w:rPr>
              <w:t>10</w:t>
            </w:r>
          </w:p>
        </w:tc>
        <w:tc>
          <w:tcPr>
            <w:tcW w:w="1014" w:type="dxa"/>
            <w:shd w:val="clear" w:color="auto" w:fill="auto"/>
            <w:tcMar>
              <w:top w:w="113" w:type="dxa"/>
              <w:left w:w="113" w:type="dxa"/>
              <w:bottom w:w="113" w:type="dxa"/>
              <w:right w:w="113" w:type="dxa"/>
            </w:tcMar>
            <w:hideMark/>
          </w:tcPr>
          <w:p w14:paraId="551384EE" w14:textId="77777777" w:rsidR="00C07F34" w:rsidRPr="00965BDB" w:rsidRDefault="00C07F34" w:rsidP="00DB32D0">
            <w:pPr>
              <w:spacing w:line="240" w:lineRule="auto"/>
              <w:rPr>
                <w:sz w:val="18"/>
                <w:szCs w:val="18"/>
                <w:lang w:val="en-US"/>
              </w:rPr>
            </w:pPr>
            <w:r w:rsidRPr="00965BDB">
              <w:rPr>
                <w:sz w:val="18"/>
                <w:szCs w:val="18"/>
                <w:lang w:val="en-US"/>
              </w:rPr>
              <w:t>17.0</w:t>
            </w:r>
          </w:p>
        </w:tc>
        <w:tc>
          <w:tcPr>
            <w:tcW w:w="0" w:type="auto"/>
            <w:shd w:val="clear" w:color="auto" w:fill="auto"/>
            <w:tcMar>
              <w:top w:w="15" w:type="dxa"/>
              <w:left w:w="15" w:type="dxa"/>
              <w:bottom w:w="15" w:type="dxa"/>
              <w:right w:w="15" w:type="dxa"/>
            </w:tcMar>
          </w:tcPr>
          <w:p w14:paraId="68DF8795"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nil"/>
              <w:right w:val="single" w:sz="4" w:space="0" w:color="auto"/>
            </w:tcBorders>
            <w:shd w:val="clear" w:color="auto" w:fill="auto"/>
            <w:tcMar>
              <w:top w:w="113" w:type="dxa"/>
              <w:left w:w="113" w:type="dxa"/>
              <w:bottom w:w="113" w:type="dxa"/>
              <w:right w:w="113" w:type="dxa"/>
            </w:tcMar>
            <w:hideMark/>
          </w:tcPr>
          <w:p w14:paraId="62615943" w14:textId="77777777" w:rsidR="00C07F34" w:rsidRPr="00965BDB" w:rsidRDefault="00C07F34" w:rsidP="00DB32D0">
            <w:pPr>
              <w:spacing w:line="240" w:lineRule="auto"/>
              <w:jc w:val="center"/>
              <w:rPr>
                <w:sz w:val="18"/>
                <w:szCs w:val="18"/>
                <w:lang w:val="en-US"/>
              </w:rPr>
            </w:pPr>
            <w:r w:rsidRPr="00965BDB">
              <w:rPr>
                <w:sz w:val="18"/>
                <w:szCs w:val="18"/>
                <w:lang w:val="en-US"/>
              </w:rPr>
              <w:t>9.5</w:t>
            </w:r>
          </w:p>
        </w:tc>
        <w:tc>
          <w:tcPr>
            <w:tcW w:w="987" w:type="dxa"/>
            <w:vMerge w:val="restart"/>
            <w:tcBorders>
              <w:top w:val="nil"/>
              <w:left w:val="single" w:sz="4" w:space="0" w:color="auto"/>
              <w:bottom w:val="single" w:sz="4" w:space="0" w:color="auto"/>
              <w:right w:val="nil"/>
            </w:tcBorders>
            <w:shd w:val="clear" w:color="auto" w:fill="auto"/>
            <w:tcMar>
              <w:top w:w="15" w:type="dxa"/>
              <w:left w:w="15" w:type="dxa"/>
              <w:bottom w:w="15" w:type="dxa"/>
              <w:right w:w="15" w:type="dxa"/>
            </w:tcMar>
            <w:vAlign w:val="center"/>
            <w:hideMark/>
          </w:tcPr>
          <w:p w14:paraId="4BAA3C07" w14:textId="1B4865D1" w:rsidR="00C07F34" w:rsidRPr="00965BDB" w:rsidRDefault="000C2C5A" w:rsidP="00DB32D0">
            <w:pPr>
              <w:spacing w:before="100" w:beforeAutospacing="1" w:after="100" w:afterAutospacing="1" w:line="200" w:lineRule="atLeast"/>
              <w:jc w:val="center"/>
              <w:rPr>
                <w:sz w:val="18"/>
                <w:szCs w:val="18"/>
                <w:lang w:val="en-US"/>
              </w:rPr>
            </w:pPr>
            <w:r>
              <w:rPr>
                <w:sz w:val="18"/>
                <w:szCs w:val="18"/>
                <w:lang w:val="en-US"/>
              </w:rPr>
              <w:t>T</w:t>
            </w:r>
            <w:r w:rsidR="00C07F34" w:rsidRPr="00965BDB">
              <w:rPr>
                <w:sz w:val="18"/>
                <w:szCs w:val="18"/>
                <w:lang w:val="en-US"/>
              </w:rPr>
              <w:t>rue positive rate</w:t>
            </w:r>
          </w:p>
          <w:p w14:paraId="5CCDA678" w14:textId="77777777" w:rsidR="00C07F34" w:rsidRPr="00965BDB" w:rsidRDefault="00C07F34" w:rsidP="00DB32D0">
            <w:pPr>
              <w:spacing w:before="100" w:beforeAutospacing="1" w:after="100" w:afterAutospacing="1" w:line="200" w:lineRule="atLeast"/>
              <w:jc w:val="center"/>
              <w:rPr>
                <w:sz w:val="18"/>
                <w:szCs w:val="18"/>
                <w:lang w:val="en-US"/>
              </w:rPr>
            </w:pPr>
            <w:r w:rsidRPr="00965BDB">
              <w:rPr>
                <w:sz w:val="18"/>
                <w:szCs w:val="18"/>
                <w:lang w:val="en-US"/>
              </w:rPr>
              <w:t>(%)</w:t>
            </w:r>
          </w:p>
        </w:tc>
      </w:tr>
      <w:tr w:rsidR="00C07F34" w:rsidRPr="00965BDB" w14:paraId="1A4FA9F2" w14:textId="77777777" w:rsidTr="00AD2769">
        <w:tc>
          <w:tcPr>
            <w:tcW w:w="0" w:type="auto"/>
            <w:vMerge/>
            <w:tcBorders>
              <w:top w:val="nil"/>
              <w:left w:val="nil"/>
              <w:bottom w:val="single" w:sz="4" w:space="0" w:color="auto"/>
              <w:right w:val="nil"/>
            </w:tcBorders>
            <w:shd w:val="clear" w:color="auto" w:fill="auto"/>
            <w:vAlign w:val="center"/>
            <w:hideMark/>
          </w:tcPr>
          <w:p w14:paraId="136A3135" w14:textId="77777777" w:rsidR="00C07F34" w:rsidRPr="00965BDB" w:rsidRDefault="00C07F34" w:rsidP="00DB32D0">
            <w:pPr>
              <w:spacing w:line="240" w:lineRule="auto"/>
              <w:rPr>
                <w:sz w:val="18"/>
                <w:szCs w:val="18"/>
                <w:lang w:val="en-US"/>
              </w:rPr>
            </w:pPr>
          </w:p>
        </w:tc>
        <w:tc>
          <w:tcPr>
            <w:tcW w:w="949" w:type="dxa"/>
            <w:shd w:val="clear" w:color="auto" w:fill="auto"/>
            <w:tcMar>
              <w:top w:w="15" w:type="dxa"/>
              <w:left w:w="15" w:type="dxa"/>
              <w:bottom w:w="15" w:type="dxa"/>
              <w:right w:w="15" w:type="dxa"/>
            </w:tcMar>
            <w:hideMark/>
          </w:tcPr>
          <w:p w14:paraId="6BEE7746" w14:textId="77777777" w:rsidR="00C07F34" w:rsidRPr="00965BDB" w:rsidRDefault="00C07F34" w:rsidP="00DB32D0">
            <w:pPr>
              <w:spacing w:line="240" w:lineRule="auto"/>
              <w:rPr>
                <w:sz w:val="18"/>
                <w:szCs w:val="18"/>
                <w:lang w:val="en-US"/>
              </w:rPr>
            </w:pPr>
            <w:r w:rsidRPr="00965BDB">
              <w:rPr>
                <w:sz w:val="18"/>
                <w:szCs w:val="18"/>
                <w:lang w:val="en-US"/>
              </w:rPr>
              <w:t>30</w:t>
            </w:r>
          </w:p>
        </w:tc>
        <w:tc>
          <w:tcPr>
            <w:tcW w:w="1014" w:type="dxa"/>
            <w:shd w:val="clear" w:color="auto" w:fill="auto"/>
            <w:tcMar>
              <w:top w:w="113" w:type="dxa"/>
              <w:left w:w="113" w:type="dxa"/>
              <w:bottom w:w="113" w:type="dxa"/>
              <w:right w:w="113" w:type="dxa"/>
            </w:tcMar>
            <w:hideMark/>
          </w:tcPr>
          <w:p w14:paraId="36629B09" w14:textId="77777777" w:rsidR="00C07F34" w:rsidRPr="00965BDB" w:rsidRDefault="00C07F34" w:rsidP="00DB32D0">
            <w:pPr>
              <w:spacing w:line="240" w:lineRule="auto"/>
              <w:rPr>
                <w:sz w:val="18"/>
                <w:szCs w:val="18"/>
                <w:lang w:val="en-US"/>
              </w:rPr>
            </w:pPr>
            <w:r w:rsidRPr="00965BDB">
              <w:rPr>
                <w:sz w:val="18"/>
                <w:szCs w:val="18"/>
                <w:lang w:val="en-US"/>
              </w:rPr>
              <w:t>31.9</w:t>
            </w:r>
          </w:p>
        </w:tc>
        <w:tc>
          <w:tcPr>
            <w:tcW w:w="0" w:type="auto"/>
            <w:shd w:val="clear" w:color="auto" w:fill="auto"/>
            <w:tcMar>
              <w:top w:w="15" w:type="dxa"/>
              <w:left w:w="15" w:type="dxa"/>
              <w:bottom w:w="15" w:type="dxa"/>
              <w:right w:w="15" w:type="dxa"/>
            </w:tcMar>
          </w:tcPr>
          <w:p w14:paraId="7FE2839B"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nil"/>
              <w:right w:val="single" w:sz="4" w:space="0" w:color="auto"/>
            </w:tcBorders>
            <w:shd w:val="clear" w:color="auto" w:fill="auto"/>
            <w:tcMar>
              <w:top w:w="113" w:type="dxa"/>
              <w:left w:w="113" w:type="dxa"/>
              <w:bottom w:w="113" w:type="dxa"/>
              <w:right w:w="113" w:type="dxa"/>
            </w:tcMar>
            <w:hideMark/>
          </w:tcPr>
          <w:p w14:paraId="2FDFBB42" w14:textId="77777777" w:rsidR="00C07F34" w:rsidRPr="00965BDB" w:rsidRDefault="00C07F34" w:rsidP="00DB32D0">
            <w:pPr>
              <w:spacing w:line="240" w:lineRule="auto"/>
              <w:jc w:val="center"/>
              <w:rPr>
                <w:sz w:val="18"/>
                <w:szCs w:val="18"/>
                <w:lang w:val="en-US"/>
              </w:rPr>
            </w:pPr>
            <w:r w:rsidRPr="00965BDB">
              <w:rPr>
                <w:sz w:val="18"/>
                <w:szCs w:val="18"/>
                <w:lang w:val="en-US"/>
              </w:rPr>
              <w:t>20.0</w:t>
            </w:r>
          </w:p>
        </w:tc>
        <w:tc>
          <w:tcPr>
            <w:tcW w:w="0" w:type="auto"/>
            <w:vMerge/>
            <w:tcBorders>
              <w:top w:val="nil"/>
              <w:left w:val="single" w:sz="4" w:space="0" w:color="auto"/>
              <w:bottom w:val="single" w:sz="4" w:space="0" w:color="auto"/>
              <w:right w:val="nil"/>
            </w:tcBorders>
            <w:shd w:val="clear" w:color="auto" w:fill="auto"/>
            <w:vAlign w:val="center"/>
            <w:hideMark/>
          </w:tcPr>
          <w:p w14:paraId="351FA6D3" w14:textId="77777777" w:rsidR="00C07F34" w:rsidRPr="00965BDB" w:rsidRDefault="00C07F34" w:rsidP="00DB32D0">
            <w:pPr>
              <w:spacing w:before="100" w:beforeAutospacing="1" w:after="100" w:afterAutospacing="1" w:line="200" w:lineRule="atLeast"/>
              <w:rPr>
                <w:sz w:val="18"/>
                <w:szCs w:val="18"/>
                <w:lang w:val="en-US"/>
              </w:rPr>
            </w:pPr>
          </w:p>
        </w:tc>
      </w:tr>
      <w:tr w:rsidR="00C07F34" w:rsidRPr="00965BDB" w14:paraId="5767FC0A" w14:textId="77777777" w:rsidTr="00AD2769">
        <w:tc>
          <w:tcPr>
            <w:tcW w:w="0" w:type="auto"/>
            <w:vMerge/>
            <w:tcBorders>
              <w:top w:val="nil"/>
              <w:left w:val="nil"/>
              <w:bottom w:val="single" w:sz="4" w:space="0" w:color="auto"/>
              <w:right w:val="nil"/>
            </w:tcBorders>
            <w:shd w:val="clear" w:color="auto" w:fill="auto"/>
            <w:vAlign w:val="center"/>
            <w:hideMark/>
          </w:tcPr>
          <w:p w14:paraId="7D3772B7" w14:textId="77777777" w:rsidR="00C07F34" w:rsidRPr="00965BDB" w:rsidRDefault="00C07F34" w:rsidP="00DB32D0">
            <w:pPr>
              <w:spacing w:line="240" w:lineRule="auto"/>
              <w:rPr>
                <w:sz w:val="18"/>
                <w:szCs w:val="18"/>
                <w:lang w:val="en-US"/>
              </w:rPr>
            </w:pPr>
          </w:p>
        </w:tc>
        <w:tc>
          <w:tcPr>
            <w:tcW w:w="949" w:type="dxa"/>
            <w:shd w:val="clear" w:color="auto" w:fill="auto"/>
            <w:tcMar>
              <w:top w:w="15" w:type="dxa"/>
              <w:left w:w="15" w:type="dxa"/>
              <w:bottom w:w="15" w:type="dxa"/>
              <w:right w:w="15" w:type="dxa"/>
            </w:tcMar>
            <w:hideMark/>
          </w:tcPr>
          <w:p w14:paraId="5338D376" w14:textId="77777777" w:rsidR="00C07F34" w:rsidRPr="00965BDB" w:rsidRDefault="00C07F34" w:rsidP="00DB32D0">
            <w:pPr>
              <w:spacing w:line="240" w:lineRule="auto"/>
              <w:rPr>
                <w:sz w:val="18"/>
                <w:szCs w:val="18"/>
                <w:lang w:val="en-US"/>
              </w:rPr>
            </w:pPr>
            <w:r w:rsidRPr="00965BDB">
              <w:rPr>
                <w:sz w:val="18"/>
                <w:szCs w:val="18"/>
                <w:lang w:val="en-US"/>
              </w:rPr>
              <w:t>139</w:t>
            </w:r>
          </w:p>
        </w:tc>
        <w:tc>
          <w:tcPr>
            <w:tcW w:w="1014" w:type="dxa"/>
            <w:shd w:val="clear" w:color="auto" w:fill="auto"/>
            <w:tcMar>
              <w:top w:w="113" w:type="dxa"/>
              <w:left w:w="113" w:type="dxa"/>
              <w:bottom w:w="113" w:type="dxa"/>
              <w:right w:w="113" w:type="dxa"/>
            </w:tcMar>
            <w:hideMark/>
          </w:tcPr>
          <w:p w14:paraId="46152ECF" w14:textId="77777777" w:rsidR="00C07F34" w:rsidRPr="00965BDB" w:rsidRDefault="00C07F34" w:rsidP="00DB32D0">
            <w:pPr>
              <w:spacing w:line="240" w:lineRule="auto"/>
              <w:rPr>
                <w:sz w:val="18"/>
                <w:szCs w:val="18"/>
                <w:lang w:val="en-US"/>
              </w:rPr>
            </w:pPr>
            <w:r w:rsidRPr="00965BDB">
              <w:rPr>
                <w:sz w:val="18"/>
                <w:szCs w:val="18"/>
                <w:lang w:val="en-US"/>
              </w:rPr>
              <w:t>80.2</w:t>
            </w:r>
          </w:p>
        </w:tc>
        <w:tc>
          <w:tcPr>
            <w:tcW w:w="0" w:type="auto"/>
            <w:shd w:val="clear" w:color="auto" w:fill="auto"/>
            <w:tcMar>
              <w:top w:w="15" w:type="dxa"/>
              <w:left w:w="15" w:type="dxa"/>
              <w:bottom w:w="15" w:type="dxa"/>
              <w:right w:w="15" w:type="dxa"/>
            </w:tcMar>
          </w:tcPr>
          <w:p w14:paraId="35B185FB"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nil"/>
              <w:right w:val="single" w:sz="4" w:space="0" w:color="auto"/>
            </w:tcBorders>
            <w:shd w:val="clear" w:color="auto" w:fill="auto"/>
            <w:tcMar>
              <w:top w:w="113" w:type="dxa"/>
              <w:left w:w="113" w:type="dxa"/>
              <w:bottom w:w="113" w:type="dxa"/>
              <w:right w:w="113" w:type="dxa"/>
            </w:tcMar>
            <w:hideMark/>
          </w:tcPr>
          <w:p w14:paraId="766DAC4C" w14:textId="77777777" w:rsidR="00C07F34" w:rsidRPr="00965BDB" w:rsidRDefault="00C07F34" w:rsidP="00DB32D0">
            <w:pPr>
              <w:spacing w:line="240" w:lineRule="auto"/>
              <w:jc w:val="center"/>
              <w:rPr>
                <w:sz w:val="18"/>
                <w:szCs w:val="18"/>
                <w:lang w:val="en-US"/>
              </w:rPr>
            </w:pPr>
            <w:r w:rsidRPr="00965BDB">
              <w:rPr>
                <w:sz w:val="18"/>
                <w:szCs w:val="18"/>
                <w:lang w:val="en-US"/>
              </w:rPr>
              <w:t>68.7</w:t>
            </w:r>
          </w:p>
        </w:tc>
        <w:tc>
          <w:tcPr>
            <w:tcW w:w="0" w:type="auto"/>
            <w:vMerge/>
            <w:tcBorders>
              <w:top w:val="nil"/>
              <w:left w:val="single" w:sz="4" w:space="0" w:color="auto"/>
              <w:bottom w:val="single" w:sz="4" w:space="0" w:color="auto"/>
              <w:right w:val="nil"/>
            </w:tcBorders>
            <w:shd w:val="clear" w:color="auto" w:fill="auto"/>
            <w:vAlign w:val="center"/>
            <w:hideMark/>
          </w:tcPr>
          <w:p w14:paraId="6877CFB3" w14:textId="77777777" w:rsidR="00C07F34" w:rsidRPr="00965BDB" w:rsidRDefault="00C07F34" w:rsidP="00DB32D0">
            <w:pPr>
              <w:spacing w:before="100" w:beforeAutospacing="1" w:after="100" w:afterAutospacing="1" w:line="200" w:lineRule="atLeast"/>
              <w:rPr>
                <w:sz w:val="18"/>
                <w:szCs w:val="18"/>
                <w:lang w:val="en-US"/>
              </w:rPr>
            </w:pPr>
          </w:p>
        </w:tc>
      </w:tr>
      <w:tr w:rsidR="00C07F34" w:rsidRPr="00965BDB" w14:paraId="3DD771BF" w14:textId="77777777" w:rsidTr="00AD2769">
        <w:tc>
          <w:tcPr>
            <w:tcW w:w="0" w:type="auto"/>
            <w:vMerge/>
            <w:tcBorders>
              <w:top w:val="nil"/>
              <w:left w:val="nil"/>
              <w:bottom w:val="single" w:sz="4" w:space="0" w:color="auto"/>
              <w:right w:val="nil"/>
            </w:tcBorders>
            <w:shd w:val="clear" w:color="auto" w:fill="auto"/>
            <w:vAlign w:val="center"/>
            <w:hideMark/>
          </w:tcPr>
          <w:p w14:paraId="4B3CE8B2" w14:textId="77777777" w:rsidR="00C07F34" w:rsidRPr="00965BDB" w:rsidRDefault="00C07F34" w:rsidP="00DB32D0">
            <w:pPr>
              <w:spacing w:line="240" w:lineRule="auto"/>
              <w:rPr>
                <w:sz w:val="18"/>
                <w:szCs w:val="18"/>
                <w:lang w:val="en-US"/>
              </w:rPr>
            </w:pPr>
          </w:p>
        </w:tc>
        <w:tc>
          <w:tcPr>
            <w:tcW w:w="949" w:type="dxa"/>
            <w:tcBorders>
              <w:top w:val="nil"/>
              <w:left w:val="nil"/>
              <w:bottom w:val="single" w:sz="4" w:space="0" w:color="auto"/>
              <w:right w:val="nil"/>
            </w:tcBorders>
            <w:shd w:val="clear" w:color="auto" w:fill="auto"/>
            <w:tcMar>
              <w:top w:w="15" w:type="dxa"/>
              <w:left w:w="15" w:type="dxa"/>
              <w:bottom w:w="15" w:type="dxa"/>
              <w:right w:w="15" w:type="dxa"/>
            </w:tcMar>
            <w:hideMark/>
          </w:tcPr>
          <w:p w14:paraId="7AB7BF11" w14:textId="77777777" w:rsidR="00C07F34" w:rsidRPr="00965BDB" w:rsidRDefault="00C07F34" w:rsidP="00DB32D0">
            <w:pPr>
              <w:spacing w:line="240" w:lineRule="auto"/>
              <w:rPr>
                <w:sz w:val="18"/>
                <w:szCs w:val="18"/>
                <w:lang w:val="en-US"/>
              </w:rPr>
            </w:pPr>
            <w:r w:rsidRPr="00965BDB">
              <w:rPr>
                <w:sz w:val="18"/>
                <w:szCs w:val="18"/>
                <w:lang w:val="en-US"/>
              </w:rPr>
              <w:t>300</w:t>
            </w:r>
          </w:p>
        </w:tc>
        <w:tc>
          <w:tcPr>
            <w:tcW w:w="1014" w:type="dxa"/>
            <w:tcBorders>
              <w:top w:val="nil"/>
              <w:left w:val="nil"/>
              <w:bottom w:val="single" w:sz="4" w:space="0" w:color="auto"/>
              <w:right w:val="nil"/>
            </w:tcBorders>
            <w:shd w:val="clear" w:color="auto" w:fill="auto"/>
            <w:tcMar>
              <w:top w:w="113" w:type="dxa"/>
              <w:left w:w="113" w:type="dxa"/>
              <w:bottom w:w="113" w:type="dxa"/>
              <w:right w:w="113" w:type="dxa"/>
            </w:tcMar>
            <w:hideMark/>
          </w:tcPr>
          <w:p w14:paraId="7629D72C" w14:textId="4376BE1F" w:rsidR="00C07F34" w:rsidRPr="00965BDB" w:rsidRDefault="00C07F34" w:rsidP="00DB32D0">
            <w:pPr>
              <w:spacing w:line="240" w:lineRule="auto"/>
              <w:rPr>
                <w:sz w:val="18"/>
                <w:szCs w:val="18"/>
                <w:lang w:val="en-US"/>
              </w:rPr>
            </w:pPr>
            <w:r w:rsidRPr="00965BDB">
              <w:rPr>
                <w:sz w:val="18"/>
                <w:szCs w:val="18"/>
                <w:lang w:val="en-US"/>
              </w:rPr>
              <w:t>98</w:t>
            </w:r>
            <w:r w:rsidR="0028070D">
              <w:rPr>
                <w:sz w:val="18"/>
                <w:szCs w:val="18"/>
                <w:lang w:val="en-US"/>
              </w:rPr>
              <w:t>.</w:t>
            </w:r>
            <w:r w:rsidRPr="00965BDB">
              <w:rPr>
                <w:sz w:val="18"/>
                <w:szCs w:val="18"/>
                <w:lang w:val="en-US"/>
              </w:rPr>
              <w:t>4</w:t>
            </w:r>
          </w:p>
        </w:tc>
        <w:tc>
          <w:tcPr>
            <w:tcW w:w="0" w:type="auto"/>
            <w:tcBorders>
              <w:top w:val="nil"/>
              <w:left w:val="nil"/>
              <w:bottom w:val="single" w:sz="4" w:space="0" w:color="auto"/>
              <w:right w:val="nil"/>
            </w:tcBorders>
            <w:shd w:val="clear" w:color="auto" w:fill="auto"/>
            <w:tcMar>
              <w:top w:w="15" w:type="dxa"/>
              <w:left w:w="15" w:type="dxa"/>
              <w:bottom w:w="15" w:type="dxa"/>
              <w:right w:w="15" w:type="dxa"/>
            </w:tcMar>
          </w:tcPr>
          <w:p w14:paraId="3E30B7AF"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single" w:sz="4" w:space="0" w:color="auto"/>
              <w:right w:val="single" w:sz="4" w:space="0" w:color="auto"/>
            </w:tcBorders>
            <w:shd w:val="clear" w:color="auto" w:fill="auto"/>
            <w:tcMar>
              <w:top w:w="113" w:type="dxa"/>
              <w:left w:w="113" w:type="dxa"/>
              <w:bottom w:w="113" w:type="dxa"/>
              <w:right w:w="113" w:type="dxa"/>
            </w:tcMar>
            <w:hideMark/>
          </w:tcPr>
          <w:p w14:paraId="6E03826C" w14:textId="77777777" w:rsidR="00C07F34" w:rsidRPr="00965BDB" w:rsidRDefault="00C07F34" w:rsidP="00DB32D0">
            <w:pPr>
              <w:spacing w:line="240" w:lineRule="auto"/>
              <w:jc w:val="center"/>
              <w:rPr>
                <w:sz w:val="18"/>
                <w:szCs w:val="18"/>
                <w:lang w:val="en-US"/>
              </w:rPr>
            </w:pPr>
            <w:r w:rsidRPr="00965BDB">
              <w:rPr>
                <w:sz w:val="18"/>
                <w:szCs w:val="18"/>
                <w:lang w:val="en-US"/>
              </w:rPr>
              <w:t>95.1</w:t>
            </w:r>
          </w:p>
        </w:tc>
        <w:tc>
          <w:tcPr>
            <w:tcW w:w="0" w:type="auto"/>
            <w:vMerge/>
            <w:tcBorders>
              <w:top w:val="nil"/>
              <w:left w:val="single" w:sz="4" w:space="0" w:color="auto"/>
              <w:bottom w:val="single" w:sz="4" w:space="0" w:color="auto"/>
              <w:right w:val="nil"/>
            </w:tcBorders>
            <w:shd w:val="clear" w:color="auto" w:fill="auto"/>
            <w:vAlign w:val="center"/>
            <w:hideMark/>
          </w:tcPr>
          <w:p w14:paraId="17AF5EE0" w14:textId="77777777" w:rsidR="00C07F34" w:rsidRPr="00965BDB" w:rsidRDefault="00C07F34" w:rsidP="00DB32D0">
            <w:pPr>
              <w:spacing w:before="100" w:beforeAutospacing="1" w:after="100" w:afterAutospacing="1" w:line="200" w:lineRule="atLeast"/>
              <w:rPr>
                <w:sz w:val="18"/>
                <w:szCs w:val="18"/>
                <w:lang w:val="en-US"/>
              </w:rPr>
            </w:pPr>
          </w:p>
        </w:tc>
      </w:tr>
      <w:tr w:rsidR="00C07F34" w:rsidRPr="00965BDB" w14:paraId="61D97CED" w14:textId="77777777" w:rsidTr="00AD2769">
        <w:tc>
          <w:tcPr>
            <w:tcW w:w="949" w:type="dxa"/>
            <w:vMerge w:val="restart"/>
            <w:tcBorders>
              <w:top w:val="single" w:sz="4" w:space="0" w:color="auto"/>
              <w:left w:val="nil"/>
              <w:bottom w:val="double" w:sz="6" w:space="0" w:color="auto"/>
              <w:right w:val="nil"/>
            </w:tcBorders>
            <w:shd w:val="clear" w:color="auto" w:fill="auto"/>
            <w:tcMar>
              <w:top w:w="15" w:type="dxa"/>
              <w:left w:w="15" w:type="dxa"/>
              <w:bottom w:w="15" w:type="dxa"/>
              <w:right w:w="15" w:type="dxa"/>
            </w:tcMar>
            <w:textDirection w:val="btLr"/>
            <w:vAlign w:val="center"/>
            <w:hideMark/>
          </w:tcPr>
          <w:p w14:paraId="0D3372F9" w14:textId="77777777" w:rsidR="00C07F34" w:rsidRPr="00965BDB" w:rsidRDefault="00C07F34" w:rsidP="00DB32D0">
            <w:pPr>
              <w:spacing w:line="240" w:lineRule="auto"/>
              <w:ind w:left="113" w:right="113"/>
              <w:jc w:val="center"/>
              <w:rPr>
                <w:sz w:val="18"/>
                <w:szCs w:val="18"/>
                <w:lang w:val="en-US"/>
              </w:rPr>
            </w:pPr>
            <w:r w:rsidRPr="00965BDB">
              <w:rPr>
                <w:sz w:val="18"/>
                <w:szCs w:val="18"/>
                <w:lang w:val="en-US"/>
              </w:rPr>
              <w:t xml:space="preserve">Samples out of </w:t>
            </w:r>
            <w:r w:rsidRPr="00965BDB">
              <w:rPr>
                <w:b/>
                <w:bCs/>
                <w:sz w:val="18"/>
                <w:szCs w:val="18"/>
                <w:u w:val="single"/>
                <w:lang w:val="en-US"/>
              </w:rPr>
              <w:t>one</w:t>
            </w:r>
            <w:r w:rsidRPr="00965BDB">
              <w:rPr>
                <w:sz w:val="18"/>
                <w:szCs w:val="18"/>
                <w:lang w:val="en-US"/>
              </w:rPr>
              <w:t xml:space="preserve"> population</w:t>
            </w:r>
          </w:p>
        </w:tc>
        <w:tc>
          <w:tcPr>
            <w:tcW w:w="949" w:type="dxa"/>
            <w:tcBorders>
              <w:top w:val="single" w:sz="4" w:space="0" w:color="auto"/>
              <w:left w:val="nil"/>
              <w:bottom w:val="nil"/>
              <w:right w:val="nil"/>
            </w:tcBorders>
            <w:shd w:val="clear" w:color="auto" w:fill="auto"/>
            <w:tcMar>
              <w:top w:w="15" w:type="dxa"/>
              <w:left w:w="15" w:type="dxa"/>
              <w:bottom w:w="15" w:type="dxa"/>
              <w:right w:w="15" w:type="dxa"/>
            </w:tcMar>
            <w:hideMark/>
          </w:tcPr>
          <w:p w14:paraId="09CE71FC" w14:textId="77777777" w:rsidR="00C07F34" w:rsidRPr="00965BDB" w:rsidRDefault="00C07F34" w:rsidP="00DB32D0">
            <w:pPr>
              <w:spacing w:line="240" w:lineRule="auto"/>
              <w:rPr>
                <w:sz w:val="18"/>
                <w:szCs w:val="18"/>
                <w:lang w:val="en-US"/>
              </w:rPr>
            </w:pPr>
            <w:r w:rsidRPr="00965BDB">
              <w:rPr>
                <w:sz w:val="18"/>
                <w:szCs w:val="18"/>
                <w:lang w:val="en-US"/>
              </w:rPr>
              <w:t>10</w:t>
            </w:r>
          </w:p>
        </w:tc>
        <w:tc>
          <w:tcPr>
            <w:tcW w:w="1014" w:type="dxa"/>
            <w:tcBorders>
              <w:top w:val="single" w:sz="4" w:space="0" w:color="auto"/>
              <w:left w:val="nil"/>
              <w:bottom w:val="nil"/>
              <w:right w:val="nil"/>
            </w:tcBorders>
            <w:shd w:val="clear" w:color="auto" w:fill="auto"/>
            <w:tcMar>
              <w:top w:w="113" w:type="dxa"/>
              <w:left w:w="113" w:type="dxa"/>
              <w:bottom w:w="113" w:type="dxa"/>
              <w:right w:w="113" w:type="dxa"/>
            </w:tcMar>
            <w:hideMark/>
          </w:tcPr>
          <w:p w14:paraId="4FF77483" w14:textId="77777777" w:rsidR="00C07F34" w:rsidRPr="00965BDB" w:rsidRDefault="00C07F34" w:rsidP="00DB32D0">
            <w:pPr>
              <w:spacing w:line="240" w:lineRule="auto"/>
              <w:rPr>
                <w:sz w:val="18"/>
                <w:szCs w:val="18"/>
                <w:lang w:val="en-US"/>
              </w:rPr>
            </w:pPr>
            <w:r w:rsidRPr="00965BDB">
              <w:rPr>
                <w:sz w:val="18"/>
                <w:szCs w:val="18"/>
                <w:lang w:val="en-US"/>
              </w:rPr>
              <w:t>5.4</w:t>
            </w:r>
          </w:p>
        </w:tc>
        <w:tc>
          <w:tcPr>
            <w:tcW w:w="0" w:type="auto"/>
            <w:tcBorders>
              <w:top w:val="single" w:sz="4" w:space="0" w:color="auto"/>
              <w:left w:val="nil"/>
              <w:bottom w:val="nil"/>
              <w:right w:val="nil"/>
            </w:tcBorders>
            <w:shd w:val="clear" w:color="auto" w:fill="auto"/>
            <w:tcMar>
              <w:top w:w="15" w:type="dxa"/>
              <w:left w:w="15" w:type="dxa"/>
              <w:bottom w:w="15" w:type="dxa"/>
              <w:right w:w="15" w:type="dxa"/>
            </w:tcMar>
          </w:tcPr>
          <w:p w14:paraId="633DA69F" w14:textId="77777777" w:rsidR="00C07F34" w:rsidRPr="00965BDB" w:rsidRDefault="00C07F34" w:rsidP="00DB32D0">
            <w:pPr>
              <w:spacing w:line="240" w:lineRule="auto"/>
              <w:jc w:val="center"/>
              <w:rPr>
                <w:sz w:val="18"/>
                <w:szCs w:val="18"/>
                <w:lang w:val="en-US"/>
              </w:rPr>
            </w:pPr>
          </w:p>
        </w:tc>
        <w:tc>
          <w:tcPr>
            <w:tcW w:w="1213" w:type="dxa"/>
            <w:tcBorders>
              <w:top w:val="single" w:sz="4" w:space="0" w:color="auto"/>
              <w:left w:val="nil"/>
              <w:bottom w:val="nil"/>
              <w:right w:val="single" w:sz="4" w:space="0" w:color="auto"/>
            </w:tcBorders>
            <w:shd w:val="clear" w:color="auto" w:fill="auto"/>
            <w:tcMar>
              <w:top w:w="113" w:type="dxa"/>
              <w:left w:w="113" w:type="dxa"/>
              <w:bottom w:w="113" w:type="dxa"/>
              <w:right w:w="113" w:type="dxa"/>
            </w:tcMar>
            <w:hideMark/>
          </w:tcPr>
          <w:p w14:paraId="4F2E0438" w14:textId="77777777" w:rsidR="00C07F34" w:rsidRPr="00965BDB" w:rsidRDefault="00C07F34" w:rsidP="00DB32D0">
            <w:pPr>
              <w:spacing w:line="240" w:lineRule="auto"/>
              <w:jc w:val="center"/>
              <w:rPr>
                <w:sz w:val="18"/>
                <w:szCs w:val="18"/>
                <w:lang w:val="en-US"/>
              </w:rPr>
            </w:pPr>
            <w:r w:rsidRPr="00965BDB">
              <w:rPr>
                <w:sz w:val="18"/>
                <w:szCs w:val="18"/>
                <w:lang w:val="en-US"/>
              </w:rPr>
              <w:t>5.3</w:t>
            </w:r>
          </w:p>
        </w:tc>
        <w:tc>
          <w:tcPr>
            <w:tcW w:w="987" w:type="dxa"/>
            <w:vMerge w:val="restart"/>
            <w:tcBorders>
              <w:top w:val="single" w:sz="4" w:space="0" w:color="auto"/>
              <w:left w:val="single" w:sz="4" w:space="0" w:color="auto"/>
              <w:bottom w:val="double" w:sz="6" w:space="0" w:color="auto"/>
              <w:right w:val="nil"/>
            </w:tcBorders>
            <w:shd w:val="clear" w:color="auto" w:fill="auto"/>
            <w:tcMar>
              <w:top w:w="15" w:type="dxa"/>
              <w:left w:w="15" w:type="dxa"/>
              <w:bottom w:w="15" w:type="dxa"/>
              <w:right w:w="15" w:type="dxa"/>
            </w:tcMar>
            <w:vAlign w:val="center"/>
            <w:hideMark/>
          </w:tcPr>
          <w:p w14:paraId="3364A5BF" w14:textId="3D688028" w:rsidR="00C07F34" w:rsidRPr="00965BDB" w:rsidRDefault="000C2C5A" w:rsidP="00DB32D0">
            <w:pPr>
              <w:spacing w:before="100" w:beforeAutospacing="1" w:after="100" w:afterAutospacing="1" w:line="200" w:lineRule="atLeast"/>
              <w:jc w:val="center"/>
              <w:rPr>
                <w:sz w:val="18"/>
                <w:szCs w:val="18"/>
                <w:lang w:val="en-US"/>
              </w:rPr>
            </w:pPr>
            <w:r>
              <w:rPr>
                <w:sz w:val="18"/>
                <w:szCs w:val="18"/>
                <w:lang w:val="en-US"/>
              </w:rPr>
              <w:t>F</w:t>
            </w:r>
            <w:r w:rsidR="00C07F34" w:rsidRPr="00965BDB">
              <w:rPr>
                <w:sz w:val="18"/>
                <w:szCs w:val="18"/>
                <w:lang w:val="en-US"/>
              </w:rPr>
              <w:t>alse positive rate</w:t>
            </w:r>
          </w:p>
          <w:p w14:paraId="37375C37" w14:textId="77777777" w:rsidR="00C07F34" w:rsidRPr="00965BDB" w:rsidRDefault="00C07F34" w:rsidP="00DB32D0">
            <w:pPr>
              <w:spacing w:before="100" w:beforeAutospacing="1" w:after="100" w:afterAutospacing="1" w:line="200" w:lineRule="atLeast"/>
              <w:jc w:val="center"/>
              <w:rPr>
                <w:sz w:val="18"/>
                <w:szCs w:val="18"/>
                <w:lang w:val="en-US"/>
              </w:rPr>
            </w:pPr>
            <w:r w:rsidRPr="00965BDB">
              <w:rPr>
                <w:sz w:val="18"/>
                <w:szCs w:val="18"/>
                <w:lang w:val="en-US"/>
              </w:rPr>
              <w:t>(%)</w:t>
            </w:r>
          </w:p>
        </w:tc>
      </w:tr>
      <w:tr w:rsidR="00C07F34" w:rsidRPr="00965BDB" w14:paraId="18747E14" w14:textId="77777777" w:rsidTr="00AD2769">
        <w:tc>
          <w:tcPr>
            <w:tcW w:w="0" w:type="auto"/>
            <w:vMerge/>
            <w:tcBorders>
              <w:top w:val="single" w:sz="4" w:space="0" w:color="auto"/>
              <w:left w:val="nil"/>
              <w:bottom w:val="double" w:sz="6" w:space="0" w:color="auto"/>
              <w:right w:val="nil"/>
            </w:tcBorders>
            <w:shd w:val="clear" w:color="auto" w:fill="auto"/>
            <w:vAlign w:val="center"/>
            <w:hideMark/>
          </w:tcPr>
          <w:p w14:paraId="6F9A6CDB" w14:textId="77777777" w:rsidR="00C07F34" w:rsidRPr="00965BDB" w:rsidRDefault="00C07F34" w:rsidP="00DB32D0">
            <w:pPr>
              <w:spacing w:line="240" w:lineRule="auto"/>
              <w:rPr>
                <w:sz w:val="18"/>
                <w:szCs w:val="18"/>
                <w:lang w:val="en-US"/>
              </w:rPr>
            </w:pPr>
          </w:p>
        </w:tc>
        <w:tc>
          <w:tcPr>
            <w:tcW w:w="949" w:type="dxa"/>
            <w:shd w:val="clear" w:color="auto" w:fill="auto"/>
            <w:tcMar>
              <w:top w:w="15" w:type="dxa"/>
              <w:left w:w="15" w:type="dxa"/>
              <w:bottom w:w="15" w:type="dxa"/>
              <w:right w:w="15" w:type="dxa"/>
            </w:tcMar>
            <w:hideMark/>
          </w:tcPr>
          <w:p w14:paraId="124F08D2" w14:textId="77777777" w:rsidR="00C07F34" w:rsidRPr="00965BDB" w:rsidRDefault="00C07F34" w:rsidP="00DB32D0">
            <w:pPr>
              <w:spacing w:line="240" w:lineRule="auto"/>
              <w:rPr>
                <w:sz w:val="18"/>
                <w:szCs w:val="18"/>
                <w:lang w:val="en-US"/>
              </w:rPr>
            </w:pPr>
            <w:r w:rsidRPr="00965BDB">
              <w:rPr>
                <w:sz w:val="18"/>
                <w:szCs w:val="18"/>
                <w:lang w:val="en-US"/>
              </w:rPr>
              <w:t>30</w:t>
            </w:r>
          </w:p>
        </w:tc>
        <w:tc>
          <w:tcPr>
            <w:tcW w:w="1014" w:type="dxa"/>
            <w:shd w:val="clear" w:color="auto" w:fill="auto"/>
            <w:tcMar>
              <w:top w:w="113" w:type="dxa"/>
              <w:left w:w="113" w:type="dxa"/>
              <w:bottom w:w="113" w:type="dxa"/>
              <w:right w:w="113" w:type="dxa"/>
            </w:tcMar>
            <w:hideMark/>
          </w:tcPr>
          <w:p w14:paraId="7D120C1E" w14:textId="77777777" w:rsidR="00C07F34" w:rsidRPr="00965BDB" w:rsidRDefault="00C07F34" w:rsidP="00DB32D0">
            <w:pPr>
              <w:spacing w:line="240" w:lineRule="auto"/>
              <w:rPr>
                <w:sz w:val="18"/>
                <w:szCs w:val="18"/>
                <w:lang w:val="en-US"/>
              </w:rPr>
            </w:pPr>
            <w:r w:rsidRPr="00965BDB">
              <w:rPr>
                <w:sz w:val="18"/>
                <w:szCs w:val="18"/>
                <w:lang w:val="en-US"/>
              </w:rPr>
              <w:t>5.9</w:t>
            </w:r>
          </w:p>
        </w:tc>
        <w:tc>
          <w:tcPr>
            <w:tcW w:w="0" w:type="auto"/>
            <w:shd w:val="clear" w:color="auto" w:fill="auto"/>
            <w:tcMar>
              <w:top w:w="15" w:type="dxa"/>
              <w:left w:w="15" w:type="dxa"/>
              <w:bottom w:w="15" w:type="dxa"/>
              <w:right w:w="15" w:type="dxa"/>
            </w:tcMar>
          </w:tcPr>
          <w:p w14:paraId="3867E511"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nil"/>
              <w:right w:val="single" w:sz="4" w:space="0" w:color="auto"/>
            </w:tcBorders>
            <w:shd w:val="clear" w:color="auto" w:fill="auto"/>
            <w:tcMar>
              <w:top w:w="113" w:type="dxa"/>
              <w:left w:w="113" w:type="dxa"/>
              <w:bottom w:w="113" w:type="dxa"/>
              <w:right w:w="113" w:type="dxa"/>
            </w:tcMar>
            <w:hideMark/>
          </w:tcPr>
          <w:p w14:paraId="04CB94EC" w14:textId="77777777" w:rsidR="00C07F34" w:rsidRPr="00965BDB" w:rsidRDefault="00C07F34" w:rsidP="00DB32D0">
            <w:pPr>
              <w:spacing w:line="240" w:lineRule="auto"/>
              <w:jc w:val="center"/>
              <w:rPr>
                <w:sz w:val="18"/>
                <w:szCs w:val="18"/>
                <w:lang w:val="en-US"/>
              </w:rPr>
            </w:pPr>
            <w:r w:rsidRPr="00965BDB">
              <w:rPr>
                <w:sz w:val="18"/>
                <w:szCs w:val="18"/>
                <w:lang w:val="en-US"/>
              </w:rPr>
              <w:t>3.9</w:t>
            </w:r>
          </w:p>
        </w:tc>
        <w:tc>
          <w:tcPr>
            <w:tcW w:w="0" w:type="auto"/>
            <w:vMerge/>
            <w:tcBorders>
              <w:top w:val="single" w:sz="4" w:space="0" w:color="auto"/>
              <w:left w:val="single" w:sz="4" w:space="0" w:color="auto"/>
              <w:bottom w:val="double" w:sz="6" w:space="0" w:color="auto"/>
              <w:right w:val="nil"/>
            </w:tcBorders>
            <w:shd w:val="clear" w:color="auto" w:fill="auto"/>
            <w:vAlign w:val="center"/>
            <w:hideMark/>
          </w:tcPr>
          <w:p w14:paraId="111CC9C0" w14:textId="77777777" w:rsidR="00C07F34" w:rsidRPr="00965BDB" w:rsidRDefault="00C07F34" w:rsidP="00DB32D0">
            <w:pPr>
              <w:spacing w:before="100" w:beforeAutospacing="1" w:after="100" w:afterAutospacing="1" w:line="200" w:lineRule="atLeast"/>
              <w:rPr>
                <w:sz w:val="18"/>
                <w:szCs w:val="18"/>
                <w:lang w:val="en-US"/>
              </w:rPr>
            </w:pPr>
          </w:p>
        </w:tc>
      </w:tr>
      <w:tr w:rsidR="00C07F34" w:rsidRPr="00965BDB" w14:paraId="25EBB4BA" w14:textId="77777777" w:rsidTr="00AD2769">
        <w:tc>
          <w:tcPr>
            <w:tcW w:w="0" w:type="auto"/>
            <w:vMerge/>
            <w:tcBorders>
              <w:top w:val="single" w:sz="4" w:space="0" w:color="auto"/>
              <w:left w:val="nil"/>
              <w:bottom w:val="double" w:sz="6" w:space="0" w:color="auto"/>
              <w:right w:val="nil"/>
            </w:tcBorders>
            <w:shd w:val="clear" w:color="auto" w:fill="auto"/>
            <w:vAlign w:val="center"/>
            <w:hideMark/>
          </w:tcPr>
          <w:p w14:paraId="48158900" w14:textId="77777777" w:rsidR="00C07F34" w:rsidRPr="00965BDB" w:rsidRDefault="00C07F34" w:rsidP="00DB32D0">
            <w:pPr>
              <w:spacing w:line="240" w:lineRule="auto"/>
              <w:rPr>
                <w:sz w:val="18"/>
                <w:szCs w:val="18"/>
                <w:lang w:val="en-US"/>
              </w:rPr>
            </w:pPr>
          </w:p>
        </w:tc>
        <w:tc>
          <w:tcPr>
            <w:tcW w:w="949" w:type="dxa"/>
            <w:shd w:val="clear" w:color="auto" w:fill="auto"/>
            <w:tcMar>
              <w:top w:w="15" w:type="dxa"/>
              <w:left w:w="15" w:type="dxa"/>
              <w:bottom w:w="15" w:type="dxa"/>
              <w:right w:w="15" w:type="dxa"/>
            </w:tcMar>
            <w:hideMark/>
          </w:tcPr>
          <w:p w14:paraId="7D35A6A1" w14:textId="77777777" w:rsidR="00C07F34" w:rsidRPr="00965BDB" w:rsidRDefault="00C07F34" w:rsidP="00DB32D0">
            <w:pPr>
              <w:spacing w:line="240" w:lineRule="auto"/>
              <w:rPr>
                <w:sz w:val="18"/>
                <w:szCs w:val="18"/>
                <w:lang w:val="en-US"/>
              </w:rPr>
            </w:pPr>
            <w:r w:rsidRPr="00965BDB">
              <w:rPr>
                <w:sz w:val="18"/>
                <w:szCs w:val="18"/>
                <w:lang w:val="en-US"/>
              </w:rPr>
              <w:t>139</w:t>
            </w:r>
          </w:p>
        </w:tc>
        <w:tc>
          <w:tcPr>
            <w:tcW w:w="1014" w:type="dxa"/>
            <w:shd w:val="clear" w:color="auto" w:fill="auto"/>
            <w:tcMar>
              <w:top w:w="113" w:type="dxa"/>
              <w:left w:w="113" w:type="dxa"/>
              <w:bottom w:w="113" w:type="dxa"/>
              <w:right w:w="113" w:type="dxa"/>
            </w:tcMar>
            <w:hideMark/>
          </w:tcPr>
          <w:p w14:paraId="0E466255" w14:textId="77777777" w:rsidR="00C07F34" w:rsidRPr="00965BDB" w:rsidRDefault="00C07F34" w:rsidP="00DB32D0">
            <w:pPr>
              <w:spacing w:line="240" w:lineRule="auto"/>
              <w:rPr>
                <w:sz w:val="18"/>
                <w:szCs w:val="18"/>
                <w:lang w:val="en-US"/>
              </w:rPr>
            </w:pPr>
            <w:r w:rsidRPr="00965BDB">
              <w:rPr>
                <w:sz w:val="18"/>
                <w:szCs w:val="18"/>
                <w:lang w:val="en-US"/>
              </w:rPr>
              <w:t>5.1</w:t>
            </w:r>
          </w:p>
        </w:tc>
        <w:tc>
          <w:tcPr>
            <w:tcW w:w="0" w:type="auto"/>
            <w:shd w:val="clear" w:color="auto" w:fill="auto"/>
            <w:tcMar>
              <w:top w:w="15" w:type="dxa"/>
              <w:left w:w="15" w:type="dxa"/>
              <w:bottom w:w="15" w:type="dxa"/>
              <w:right w:w="15" w:type="dxa"/>
            </w:tcMar>
          </w:tcPr>
          <w:p w14:paraId="3D370376"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nil"/>
              <w:right w:val="single" w:sz="4" w:space="0" w:color="auto"/>
            </w:tcBorders>
            <w:shd w:val="clear" w:color="auto" w:fill="auto"/>
            <w:tcMar>
              <w:top w:w="113" w:type="dxa"/>
              <w:left w:w="113" w:type="dxa"/>
              <w:bottom w:w="113" w:type="dxa"/>
              <w:right w:w="113" w:type="dxa"/>
            </w:tcMar>
            <w:hideMark/>
          </w:tcPr>
          <w:p w14:paraId="028CA2A2" w14:textId="77777777" w:rsidR="00C07F34" w:rsidRPr="00965BDB" w:rsidRDefault="00C07F34" w:rsidP="00DB32D0">
            <w:pPr>
              <w:spacing w:line="240" w:lineRule="auto"/>
              <w:jc w:val="center"/>
              <w:rPr>
                <w:sz w:val="18"/>
                <w:szCs w:val="18"/>
                <w:lang w:val="en-US"/>
              </w:rPr>
            </w:pPr>
            <w:r w:rsidRPr="00965BDB">
              <w:rPr>
                <w:sz w:val="18"/>
                <w:szCs w:val="18"/>
                <w:lang w:val="en-US"/>
              </w:rPr>
              <w:t>4.9</w:t>
            </w:r>
          </w:p>
        </w:tc>
        <w:tc>
          <w:tcPr>
            <w:tcW w:w="0" w:type="auto"/>
            <w:vMerge/>
            <w:tcBorders>
              <w:top w:val="single" w:sz="4" w:space="0" w:color="auto"/>
              <w:left w:val="single" w:sz="4" w:space="0" w:color="auto"/>
              <w:bottom w:val="double" w:sz="6" w:space="0" w:color="auto"/>
              <w:right w:val="nil"/>
            </w:tcBorders>
            <w:shd w:val="clear" w:color="auto" w:fill="auto"/>
            <w:vAlign w:val="center"/>
            <w:hideMark/>
          </w:tcPr>
          <w:p w14:paraId="6847CF61" w14:textId="77777777" w:rsidR="00C07F34" w:rsidRPr="00965BDB" w:rsidRDefault="00C07F34" w:rsidP="00DB32D0">
            <w:pPr>
              <w:spacing w:before="100" w:beforeAutospacing="1" w:after="100" w:afterAutospacing="1" w:line="200" w:lineRule="atLeast"/>
              <w:rPr>
                <w:sz w:val="18"/>
                <w:szCs w:val="18"/>
                <w:lang w:val="en-US"/>
              </w:rPr>
            </w:pPr>
          </w:p>
        </w:tc>
      </w:tr>
      <w:tr w:rsidR="00C07F34" w:rsidRPr="00965BDB" w14:paraId="6D815E03" w14:textId="77777777" w:rsidTr="00AD2769">
        <w:tc>
          <w:tcPr>
            <w:tcW w:w="0" w:type="auto"/>
            <w:vMerge/>
            <w:tcBorders>
              <w:top w:val="single" w:sz="4" w:space="0" w:color="auto"/>
              <w:left w:val="nil"/>
              <w:bottom w:val="double" w:sz="6" w:space="0" w:color="auto"/>
              <w:right w:val="nil"/>
            </w:tcBorders>
            <w:shd w:val="clear" w:color="auto" w:fill="auto"/>
            <w:vAlign w:val="center"/>
            <w:hideMark/>
          </w:tcPr>
          <w:p w14:paraId="5E81110B" w14:textId="77777777" w:rsidR="00C07F34" w:rsidRPr="00965BDB" w:rsidRDefault="00C07F34" w:rsidP="00DB32D0">
            <w:pPr>
              <w:spacing w:line="240" w:lineRule="auto"/>
              <w:rPr>
                <w:sz w:val="18"/>
                <w:szCs w:val="18"/>
                <w:lang w:val="en-US"/>
              </w:rPr>
            </w:pPr>
          </w:p>
        </w:tc>
        <w:tc>
          <w:tcPr>
            <w:tcW w:w="949" w:type="dxa"/>
            <w:tcBorders>
              <w:top w:val="nil"/>
              <w:left w:val="nil"/>
              <w:bottom w:val="double" w:sz="6" w:space="0" w:color="auto"/>
              <w:right w:val="nil"/>
            </w:tcBorders>
            <w:shd w:val="clear" w:color="auto" w:fill="auto"/>
            <w:tcMar>
              <w:top w:w="15" w:type="dxa"/>
              <w:left w:w="15" w:type="dxa"/>
              <w:bottom w:w="15" w:type="dxa"/>
              <w:right w:w="15" w:type="dxa"/>
            </w:tcMar>
            <w:hideMark/>
          </w:tcPr>
          <w:p w14:paraId="1877CC28" w14:textId="77777777" w:rsidR="00C07F34" w:rsidRPr="00965BDB" w:rsidRDefault="00C07F34" w:rsidP="00DB32D0">
            <w:pPr>
              <w:spacing w:line="240" w:lineRule="auto"/>
              <w:rPr>
                <w:sz w:val="18"/>
                <w:szCs w:val="18"/>
                <w:lang w:val="en-US"/>
              </w:rPr>
            </w:pPr>
            <w:r w:rsidRPr="00965BDB">
              <w:rPr>
                <w:sz w:val="18"/>
                <w:szCs w:val="18"/>
                <w:lang w:val="en-US"/>
              </w:rPr>
              <w:t>300</w:t>
            </w:r>
          </w:p>
        </w:tc>
        <w:tc>
          <w:tcPr>
            <w:tcW w:w="1014" w:type="dxa"/>
            <w:tcBorders>
              <w:top w:val="nil"/>
              <w:left w:val="nil"/>
              <w:bottom w:val="double" w:sz="6" w:space="0" w:color="auto"/>
              <w:right w:val="nil"/>
            </w:tcBorders>
            <w:shd w:val="clear" w:color="auto" w:fill="auto"/>
            <w:tcMar>
              <w:top w:w="113" w:type="dxa"/>
              <w:left w:w="113" w:type="dxa"/>
              <w:bottom w:w="113" w:type="dxa"/>
              <w:right w:w="113" w:type="dxa"/>
            </w:tcMar>
            <w:hideMark/>
          </w:tcPr>
          <w:p w14:paraId="46DFE95B" w14:textId="77777777" w:rsidR="00C07F34" w:rsidRPr="00965BDB" w:rsidRDefault="00C07F34" w:rsidP="00DB32D0">
            <w:pPr>
              <w:spacing w:line="240" w:lineRule="auto"/>
              <w:rPr>
                <w:sz w:val="18"/>
                <w:szCs w:val="18"/>
                <w:lang w:val="en-US"/>
              </w:rPr>
            </w:pPr>
            <w:r w:rsidRPr="00965BDB">
              <w:rPr>
                <w:sz w:val="18"/>
                <w:szCs w:val="18"/>
                <w:lang w:val="en-US"/>
              </w:rPr>
              <w:t>4.4</w:t>
            </w:r>
          </w:p>
        </w:tc>
        <w:tc>
          <w:tcPr>
            <w:tcW w:w="0" w:type="auto"/>
            <w:tcBorders>
              <w:top w:val="nil"/>
              <w:left w:val="nil"/>
              <w:bottom w:val="double" w:sz="6" w:space="0" w:color="auto"/>
              <w:right w:val="nil"/>
            </w:tcBorders>
            <w:shd w:val="clear" w:color="auto" w:fill="auto"/>
            <w:tcMar>
              <w:top w:w="15" w:type="dxa"/>
              <w:left w:w="15" w:type="dxa"/>
              <w:bottom w:w="15" w:type="dxa"/>
              <w:right w:w="15" w:type="dxa"/>
            </w:tcMar>
          </w:tcPr>
          <w:p w14:paraId="17082533" w14:textId="77777777" w:rsidR="00C07F34" w:rsidRPr="00965BDB" w:rsidRDefault="00C07F34" w:rsidP="00DB32D0">
            <w:pPr>
              <w:spacing w:line="240" w:lineRule="auto"/>
              <w:jc w:val="center"/>
              <w:rPr>
                <w:sz w:val="18"/>
                <w:szCs w:val="18"/>
                <w:lang w:val="en-US"/>
              </w:rPr>
            </w:pPr>
          </w:p>
        </w:tc>
        <w:tc>
          <w:tcPr>
            <w:tcW w:w="1213" w:type="dxa"/>
            <w:tcBorders>
              <w:top w:val="nil"/>
              <w:left w:val="nil"/>
              <w:bottom w:val="double" w:sz="6" w:space="0" w:color="auto"/>
              <w:right w:val="single" w:sz="4" w:space="0" w:color="auto"/>
            </w:tcBorders>
            <w:shd w:val="clear" w:color="auto" w:fill="auto"/>
            <w:tcMar>
              <w:top w:w="113" w:type="dxa"/>
              <w:left w:w="113" w:type="dxa"/>
              <w:bottom w:w="113" w:type="dxa"/>
              <w:right w:w="113" w:type="dxa"/>
            </w:tcMar>
            <w:hideMark/>
          </w:tcPr>
          <w:p w14:paraId="2E87C08A" w14:textId="77777777" w:rsidR="00C07F34" w:rsidRPr="00965BDB" w:rsidRDefault="00C07F34" w:rsidP="00DB32D0">
            <w:pPr>
              <w:spacing w:line="240" w:lineRule="auto"/>
              <w:jc w:val="center"/>
              <w:rPr>
                <w:sz w:val="18"/>
                <w:szCs w:val="18"/>
                <w:lang w:val="en-US"/>
              </w:rPr>
            </w:pPr>
            <w:r w:rsidRPr="00965BDB">
              <w:rPr>
                <w:sz w:val="18"/>
                <w:szCs w:val="18"/>
                <w:lang w:val="en-US"/>
              </w:rPr>
              <w:t>4.1</w:t>
            </w:r>
          </w:p>
        </w:tc>
        <w:tc>
          <w:tcPr>
            <w:tcW w:w="0" w:type="auto"/>
            <w:vMerge/>
            <w:tcBorders>
              <w:top w:val="single" w:sz="4" w:space="0" w:color="auto"/>
              <w:left w:val="single" w:sz="4" w:space="0" w:color="auto"/>
              <w:bottom w:val="double" w:sz="6" w:space="0" w:color="auto"/>
              <w:right w:val="nil"/>
            </w:tcBorders>
            <w:shd w:val="clear" w:color="auto" w:fill="auto"/>
            <w:vAlign w:val="center"/>
            <w:hideMark/>
          </w:tcPr>
          <w:p w14:paraId="28F22BA7" w14:textId="77777777" w:rsidR="00C07F34" w:rsidRPr="00965BDB" w:rsidRDefault="00C07F34" w:rsidP="00DB32D0">
            <w:pPr>
              <w:spacing w:before="100" w:beforeAutospacing="1" w:after="100" w:afterAutospacing="1" w:line="200" w:lineRule="atLeast"/>
              <w:rPr>
                <w:sz w:val="18"/>
                <w:szCs w:val="18"/>
                <w:lang w:val="en-US"/>
              </w:rPr>
            </w:pPr>
          </w:p>
        </w:tc>
      </w:tr>
    </w:tbl>
    <w:p w14:paraId="170089B6" w14:textId="7D278A21" w:rsidR="00C07F34" w:rsidRPr="00965BDB" w:rsidRDefault="00C07F34" w:rsidP="00DB32D0">
      <w:pPr>
        <w:spacing w:line="200" w:lineRule="atLeast"/>
        <w:ind w:firstLine="1985"/>
        <w:rPr>
          <w:sz w:val="20"/>
          <w:szCs w:val="20"/>
          <w:lang w:val="en-US"/>
        </w:rPr>
      </w:pPr>
    </w:p>
    <w:p w14:paraId="03A3C35D" w14:textId="3C8A6608" w:rsidR="00C07F34" w:rsidRPr="00965BDB" w:rsidRDefault="00C07F34" w:rsidP="00DB32D0">
      <w:pPr>
        <w:rPr>
          <w:lang w:val="en-US"/>
        </w:rPr>
      </w:pPr>
    </w:p>
    <w:p w14:paraId="538B5400" w14:textId="767FE910"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2: Sample size n</w:t>
      </w:r>
      <w:r w:rsidR="0028070D">
        <w:rPr>
          <w:i w:val="0"/>
          <w:iCs w:val="0"/>
          <w:color w:val="000000" w:themeColor="text1"/>
          <w:sz w:val="20"/>
          <w:szCs w:val="20"/>
          <w:lang w:val="en-US"/>
        </w:rPr>
        <w:t> </w:t>
      </w:r>
      <w:r w:rsidRPr="00965BDB">
        <w:rPr>
          <w:i w:val="0"/>
          <w:iCs w:val="0"/>
          <w:color w:val="000000" w:themeColor="text1"/>
          <w:sz w:val="20"/>
          <w:szCs w:val="20"/>
          <w:lang w:val="en-US"/>
        </w:rPr>
        <w:t>=</w:t>
      </w:r>
      <w:r w:rsidR="0028070D">
        <w:rPr>
          <w:i w:val="0"/>
          <w:iCs w:val="0"/>
          <w:color w:val="000000" w:themeColor="text1"/>
          <w:sz w:val="20"/>
          <w:szCs w:val="20"/>
          <w:lang w:val="en-US"/>
        </w:rPr>
        <w:t> </w:t>
      </w:r>
      <w:r w:rsidRPr="00965BDB">
        <w:rPr>
          <w:i w:val="0"/>
          <w:iCs w:val="0"/>
          <w:color w:val="000000" w:themeColor="text1"/>
          <w:sz w:val="20"/>
          <w:szCs w:val="20"/>
          <w:lang w:val="en-US"/>
        </w:rPr>
        <w:t>10 / approximately normally distributed / effect size (ES)</w:t>
      </w:r>
    </w:p>
    <w:tbl>
      <w:tblPr>
        <w:tblW w:w="9011"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417"/>
        <w:gridCol w:w="1060"/>
        <w:gridCol w:w="747"/>
        <w:gridCol w:w="1173"/>
        <w:gridCol w:w="777"/>
        <w:gridCol w:w="1143"/>
      </w:tblGrid>
      <w:tr w:rsidR="00C07F34" w:rsidRPr="00965BDB" w14:paraId="02A32709" w14:textId="77777777" w:rsidTr="00AD2769">
        <w:trPr>
          <w:trHeight w:val="300"/>
        </w:trPr>
        <w:tc>
          <w:tcPr>
            <w:tcW w:w="1276" w:type="dxa"/>
            <w:shd w:val="clear" w:color="auto" w:fill="auto"/>
            <w:noWrap/>
            <w:vAlign w:val="center"/>
            <w:hideMark/>
          </w:tcPr>
          <w:p w14:paraId="2322602A" w14:textId="5748A3B5"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n</w:t>
            </w:r>
            <w:r w:rsidR="0028070D">
              <w:rPr>
                <w:bCs/>
                <w:color w:val="000000" w:themeColor="text1"/>
                <w:sz w:val="20"/>
                <w:szCs w:val="20"/>
                <w:lang w:val="en-US" w:eastAsia="de-DE"/>
              </w:rPr>
              <w:t> </w:t>
            </w:r>
            <w:r w:rsidRPr="00965BDB">
              <w:rPr>
                <w:bCs/>
                <w:color w:val="000000" w:themeColor="text1"/>
                <w:sz w:val="20"/>
                <w:szCs w:val="20"/>
                <w:lang w:val="en-US" w:eastAsia="de-DE"/>
              </w:rPr>
              <w:t>=</w:t>
            </w:r>
            <w:r w:rsidR="0028070D">
              <w:rPr>
                <w:bCs/>
                <w:color w:val="000000" w:themeColor="text1"/>
                <w:sz w:val="20"/>
                <w:szCs w:val="20"/>
                <w:lang w:val="en-US" w:eastAsia="de-DE"/>
              </w:rPr>
              <w:t> </w:t>
            </w:r>
            <w:r w:rsidRPr="00965BDB">
              <w:rPr>
                <w:bCs/>
                <w:color w:val="000000" w:themeColor="text1"/>
                <w:sz w:val="20"/>
                <w:szCs w:val="20"/>
                <w:lang w:val="en-US" w:eastAsia="de-DE"/>
              </w:rPr>
              <w:t>10</w:t>
            </w:r>
          </w:p>
        </w:tc>
        <w:tc>
          <w:tcPr>
            <w:tcW w:w="1418" w:type="dxa"/>
            <w:shd w:val="clear" w:color="auto" w:fill="auto"/>
            <w:noWrap/>
            <w:vAlign w:val="center"/>
            <w:hideMark/>
          </w:tcPr>
          <w:p w14:paraId="78CFEEC4"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Population 1</w:t>
            </w:r>
          </w:p>
        </w:tc>
        <w:tc>
          <w:tcPr>
            <w:tcW w:w="1417" w:type="dxa"/>
            <w:shd w:val="clear" w:color="auto" w:fill="auto"/>
            <w:noWrap/>
            <w:vAlign w:val="center"/>
            <w:hideMark/>
          </w:tcPr>
          <w:p w14:paraId="5C07C84B"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Population 2</w:t>
            </w:r>
          </w:p>
        </w:tc>
        <w:tc>
          <w:tcPr>
            <w:tcW w:w="1060" w:type="dxa"/>
            <w:shd w:val="clear" w:color="auto" w:fill="auto"/>
            <w:noWrap/>
            <w:vAlign w:val="center"/>
            <w:hideMark/>
          </w:tcPr>
          <w:p w14:paraId="319BBF16" w14:textId="77777777" w:rsidR="00C07F34" w:rsidRPr="00965BDB" w:rsidRDefault="00C07F34" w:rsidP="00DB32D0">
            <w:pPr>
              <w:spacing w:line="240" w:lineRule="auto"/>
              <w:rPr>
                <w:color w:val="000000" w:themeColor="text1"/>
                <w:sz w:val="20"/>
                <w:szCs w:val="20"/>
                <w:lang w:val="en-US" w:eastAsia="de-DE"/>
              </w:rPr>
            </w:pPr>
          </w:p>
        </w:tc>
        <w:tc>
          <w:tcPr>
            <w:tcW w:w="1920" w:type="dxa"/>
            <w:gridSpan w:val="2"/>
            <w:shd w:val="clear" w:color="auto" w:fill="auto"/>
            <w:noWrap/>
            <w:vAlign w:val="center"/>
            <w:hideMark/>
          </w:tcPr>
          <w:p w14:paraId="3EFE80AA" w14:textId="6D0950A6"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Samples out of population</w:t>
            </w:r>
            <w:r w:rsidR="00324D73">
              <w:rPr>
                <w:color w:val="000000" w:themeColor="text1"/>
                <w:sz w:val="20"/>
                <w:szCs w:val="20"/>
                <w:lang w:val="en-US" w:eastAsia="de-DE"/>
              </w:rPr>
              <w:t>s</w:t>
            </w:r>
            <w:r w:rsidRPr="00965BDB">
              <w:rPr>
                <w:color w:val="000000" w:themeColor="text1"/>
                <w:sz w:val="20"/>
                <w:szCs w:val="20"/>
                <w:lang w:val="en-US" w:eastAsia="de-DE"/>
              </w:rPr>
              <w:t xml:space="preserve"> 1</w:t>
            </w:r>
            <w:r w:rsidR="00324D73">
              <w:rPr>
                <w:color w:val="000000" w:themeColor="text1"/>
                <w:sz w:val="20"/>
                <w:szCs w:val="20"/>
                <w:lang w:val="en-US" w:eastAsia="de-DE"/>
              </w:rPr>
              <w:t xml:space="preserve"> and </w:t>
            </w:r>
            <w:r w:rsidRPr="00965BDB">
              <w:rPr>
                <w:color w:val="000000" w:themeColor="text1"/>
                <w:sz w:val="20"/>
                <w:szCs w:val="20"/>
                <w:lang w:val="en-US" w:eastAsia="de-DE"/>
              </w:rPr>
              <w:t>2</w:t>
            </w:r>
          </w:p>
        </w:tc>
        <w:tc>
          <w:tcPr>
            <w:tcW w:w="1920" w:type="dxa"/>
            <w:gridSpan w:val="2"/>
            <w:shd w:val="clear" w:color="auto" w:fill="auto"/>
            <w:noWrap/>
            <w:vAlign w:val="center"/>
            <w:hideMark/>
          </w:tcPr>
          <w:p w14:paraId="449AD326" w14:textId="77777777" w:rsidR="00C07F34" w:rsidRPr="00965BDB" w:rsidRDefault="00C07F34" w:rsidP="00DB32D0">
            <w:pPr>
              <w:spacing w:line="240" w:lineRule="auto"/>
              <w:ind w:left="-74"/>
              <w:rPr>
                <w:color w:val="000000" w:themeColor="text1"/>
                <w:sz w:val="20"/>
                <w:szCs w:val="20"/>
                <w:lang w:val="en-US" w:eastAsia="de-DE"/>
              </w:rPr>
            </w:pPr>
            <w:r w:rsidRPr="00965BDB">
              <w:rPr>
                <w:color w:val="000000" w:themeColor="text1"/>
                <w:sz w:val="20"/>
                <w:szCs w:val="20"/>
                <w:lang w:val="en-US" w:eastAsia="de-DE"/>
              </w:rPr>
              <w:t>Both samples out of population 1</w:t>
            </w:r>
          </w:p>
        </w:tc>
      </w:tr>
      <w:tr w:rsidR="00C07F34" w:rsidRPr="00965BDB" w14:paraId="2784A8F9" w14:textId="77777777" w:rsidTr="009A7469">
        <w:trPr>
          <w:trHeight w:val="300"/>
        </w:trPr>
        <w:tc>
          <w:tcPr>
            <w:tcW w:w="1276" w:type="dxa"/>
            <w:shd w:val="clear" w:color="auto" w:fill="auto"/>
            <w:noWrap/>
            <w:vAlign w:val="center"/>
            <w:hideMark/>
          </w:tcPr>
          <w:p w14:paraId="481D29A9" w14:textId="77777777" w:rsidR="00C07F34" w:rsidRPr="00965BDB" w:rsidRDefault="00C07F34" w:rsidP="00DB32D0">
            <w:pPr>
              <w:spacing w:line="240" w:lineRule="auto"/>
              <w:rPr>
                <w:color w:val="000000" w:themeColor="text1"/>
                <w:sz w:val="20"/>
                <w:szCs w:val="20"/>
                <w:lang w:val="en-US" w:eastAsia="de-DE"/>
              </w:rPr>
            </w:pPr>
          </w:p>
        </w:tc>
        <w:tc>
          <w:tcPr>
            <w:tcW w:w="1418" w:type="dxa"/>
            <w:shd w:val="clear" w:color="auto" w:fill="auto"/>
            <w:noWrap/>
            <w:vAlign w:val="center"/>
            <w:hideMark/>
          </w:tcPr>
          <w:p w14:paraId="21D40460"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mean 1 (SD 1)</w:t>
            </w:r>
          </w:p>
        </w:tc>
        <w:tc>
          <w:tcPr>
            <w:tcW w:w="1417" w:type="dxa"/>
            <w:shd w:val="clear" w:color="auto" w:fill="auto"/>
            <w:noWrap/>
            <w:vAlign w:val="center"/>
            <w:hideMark/>
          </w:tcPr>
          <w:p w14:paraId="5DB8A865"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mean 2 (SD 2)</w:t>
            </w:r>
          </w:p>
        </w:tc>
        <w:tc>
          <w:tcPr>
            <w:tcW w:w="1060" w:type="dxa"/>
            <w:shd w:val="clear" w:color="auto" w:fill="auto"/>
            <w:noWrap/>
            <w:vAlign w:val="center"/>
            <w:hideMark/>
          </w:tcPr>
          <w:p w14:paraId="10211C83"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ES</w:t>
            </w:r>
          </w:p>
        </w:tc>
        <w:tc>
          <w:tcPr>
            <w:tcW w:w="747" w:type="dxa"/>
            <w:shd w:val="clear" w:color="auto" w:fill="auto"/>
            <w:noWrap/>
            <w:vAlign w:val="center"/>
            <w:hideMark/>
          </w:tcPr>
          <w:p w14:paraId="614F7DB1"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t-test</w:t>
            </w:r>
          </w:p>
        </w:tc>
        <w:tc>
          <w:tcPr>
            <w:tcW w:w="1173" w:type="dxa"/>
            <w:shd w:val="clear" w:color="auto" w:fill="auto"/>
            <w:noWrap/>
            <w:vAlign w:val="center"/>
            <w:hideMark/>
          </w:tcPr>
          <w:p w14:paraId="4195E0AB"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U-Test</w:t>
            </w:r>
          </w:p>
        </w:tc>
        <w:tc>
          <w:tcPr>
            <w:tcW w:w="777" w:type="dxa"/>
            <w:shd w:val="clear" w:color="auto" w:fill="auto"/>
            <w:noWrap/>
            <w:vAlign w:val="center"/>
            <w:hideMark/>
          </w:tcPr>
          <w:p w14:paraId="2DD8D325"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t-test</w:t>
            </w:r>
          </w:p>
        </w:tc>
        <w:tc>
          <w:tcPr>
            <w:tcW w:w="1143" w:type="dxa"/>
            <w:shd w:val="clear" w:color="auto" w:fill="auto"/>
            <w:noWrap/>
            <w:vAlign w:val="center"/>
            <w:hideMark/>
          </w:tcPr>
          <w:p w14:paraId="7228EFCE" w14:textId="77777777" w:rsidR="00C07F34" w:rsidRPr="00965BDB" w:rsidRDefault="00C07F34" w:rsidP="00324D73">
            <w:pPr>
              <w:spacing w:line="240" w:lineRule="auto"/>
              <w:rPr>
                <w:color w:val="000000" w:themeColor="text1"/>
                <w:sz w:val="20"/>
                <w:szCs w:val="20"/>
                <w:lang w:val="en-US" w:eastAsia="de-DE"/>
              </w:rPr>
            </w:pPr>
            <w:r w:rsidRPr="00965BDB">
              <w:rPr>
                <w:color w:val="000000" w:themeColor="text1"/>
                <w:sz w:val="20"/>
                <w:szCs w:val="20"/>
                <w:lang w:val="en-US" w:eastAsia="de-DE"/>
              </w:rPr>
              <w:t>U-Test</w:t>
            </w:r>
          </w:p>
        </w:tc>
      </w:tr>
      <w:tr w:rsidR="00C07F34" w:rsidRPr="00965BDB" w14:paraId="696359A1" w14:textId="77777777" w:rsidTr="009A7469">
        <w:trPr>
          <w:trHeight w:val="300"/>
        </w:trPr>
        <w:tc>
          <w:tcPr>
            <w:tcW w:w="1276" w:type="dxa"/>
            <w:shd w:val="clear" w:color="auto" w:fill="auto"/>
            <w:noWrap/>
            <w:vAlign w:val="center"/>
            <w:hideMark/>
          </w:tcPr>
          <w:p w14:paraId="27532B1B" w14:textId="1967F382"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100</w:t>
            </w:r>
          </w:p>
        </w:tc>
        <w:tc>
          <w:tcPr>
            <w:tcW w:w="1418" w:type="dxa"/>
            <w:shd w:val="clear" w:color="auto" w:fill="auto"/>
            <w:noWrap/>
            <w:vAlign w:val="center"/>
            <w:hideMark/>
          </w:tcPr>
          <w:p w14:paraId="3CA96BB2"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50.0 (16.5)</w:t>
            </w:r>
          </w:p>
        </w:tc>
        <w:tc>
          <w:tcPr>
            <w:tcW w:w="1417" w:type="dxa"/>
            <w:shd w:val="clear" w:color="auto" w:fill="auto"/>
            <w:noWrap/>
            <w:vAlign w:val="center"/>
            <w:hideMark/>
          </w:tcPr>
          <w:p w14:paraId="4A95710B"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55.0 (16.5)</w:t>
            </w:r>
          </w:p>
        </w:tc>
        <w:tc>
          <w:tcPr>
            <w:tcW w:w="1060" w:type="dxa"/>
            <w:shd w:val="clear" w:color="auto" w:fill="auto"/>
            <w:noWrap/>
            <w:vAlign w:val="center"/>
            <w:hideMark/>
          </w:tcPr>
          <w:p w14:paraId="621E839E"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47AC2F52"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10.2%</w:t>
            </w:r>
          </w:p>
        </w:tc>
        <w:tc>
          <w:tcPr>
            <w:tcW w:w="1173" w:type="dxa"/>
            <w:shd w:val="clear" w:color="auto" w:fill="auto"/>
            <w:noWrap/>
            <w:vAlign w:val="center"/>
            <w:hideMark/>
          </w:tcPr>
          <w:p w14:paraId="33A03E59"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9.4%</w:t>
            </w:r>
          </w:p>
        </w:tc>
        <w:tc>
          <w:tcPr>
            <w:tcW w:w="777" w:type="dxa"/>
            <w:shd w:val="clear" w:color="auto" w:fill="auto"/>
            <w:noWrap/>
            <w:vAlign w:val="center"/>
            <w:hideMark/>
          </w:tcPr>
          <w:p w14:paraId="2584A2D7"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4.4%</w:t>
            </w:r>
          </w:p>
        </w:tc>
        <w:tc>
          <w:tcPr>
            <w:tcW w:w="1143" w:type="dxa"/>
            <w:shd w:val="clear" w:color="auto" w:fill="auto"/>
            <w:noWrap/>
            <w:vAlign w:val="center"/>
            <w:hideMark/>
          </w:tcPr>
          <w:p w14:paraId="6C67E905" w14:textId="77777777" w:rsidR="00C07F34" w:rsidRPr="00965BDB" w:rsidRDefault="00C07F34" w:rsidP="00324D73">
            <w:pPr>
              <w:spacing w:line="240" w:lineRule="auto"/>
              <w:rPr>
                <w:color w:val="000000" w:themeColor="text1"/>
                <w:sz w:val="20"/>
                <w:szCs w:val="20"/>
                <w:lang w:val="en-US" w:eastAsia="de-DE"/>
              </w:rPr>
            </w:pPr>
            <w:r w:rsidRPr="00965BDB">
              <w:rPr>
                <w:color w:val="000000" w:themeColor="text1"/>
                <w:sz w:val="20"/>
                <w:szCs w:val="20"/>
                <w:lang w:val="en-US" w:eastAsia="de-DE"/>
              </w:rPr>
              <w:t>4.1%</w:t>
            </w:r>
          </w:p>
        </w:tc>
      </w:tr>
      <w:tr w:rsidR="00C07F34" w:rsidRPr="00965BDB" w14:paraId="75DA608E" w14:textId="77777777" w:rsidTr="009A7469">
        <w:trPr>
          <w:trHeight w:val="300"/>
        </w:trPr>
        <w:tc>
          <w:tcPr>
            <w:tcW w:w="1276" w:type="dxa"/>
            <w:shd w:val="clear" w:color="auto" w:fill="auto"/>
            <w:noWrap/>
            <w:vAlign w:val="center"/>
            <w:hideMark/>
          </w:tcPr>
          <w:p w14:paraId="23725639" w14:textId="43F577CD"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7</w:t>
            </w:r>
          </w:p>
        </w:tc>
        <w:tc>
          <w:tcPr>
            <w:tcW w:w="1418" w:type="dxa"/>
            <w:shd w:val="clear" w:color="auto" w:fill="auto"/>
            <w:noWrap/>
            <w:vAlign w:val="center"/>
            <w:hideMark/>
          </w:tcPr>
          <w:p w14:paraId="74628F49"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4.00 (1.2)</w:t>
            </w:r>
          </w:p>
        </w:tc>
        <w:tc>
          <w:tcPr>
            <w:tcW w:w="1417" w:type="dxa"/>
            <w:shd w:val="clear" w:color="auto" w:fill="auto"/>
            <w:noWrap/>
            <w:vAlign w:val="center"/>
            <w:hideMark/>
          </w:tcPr>
          <w:p w14:paraId="041FE7C6"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4.4 (1.2)</w:t>
            </w:r>
          </w:p>
        </w:tc>
        <w:tc>
          <w:tcPr>
            <w:tcW w:w="1060" w:type="dxa"/>
            <w:shd w:val="clear" w:color="auto" w:fill="auto"/>
            <w:noWrap/>
            <w:vAlign w:val="center"/>
            <w:hideMark/>
          </w:tcPr>
          <w:p w14:paraId="570B3AF8"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64E22418"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10.0%</w:t>
            </w:r>
          </w:p>
        </w:tc>
        <w:tc>
          <w:tcPr>
            <w:tcW w:w="1173" w:type="dxa"/>
            <w:shd w:val="clear" w:color="auto" w:fill="auto"/>
            <w:noWrap/>
            <w:vAlign w:val="center"/>
            <w:hideMark/>
          </w:tcPr>
          <w:p w14:paraId="528F8B0D"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9.2%</w:t>
            </w:r>
          </w:p>
        </w:tc>
        <w:tc>
          <w:tcPr>
            <w:tcW w:w="777" w:type="dxa"/>
            <w:shd w:val="clear" w:color="auto" w:fill="auto"/>
            <w:noWrap/>
            <w:vAlign w:val="center"/>
            <w:hideMark/>
          </w:tcPr>
          <w:p w14:paraId="67D665DC"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4.2%</w:t>
            </w:r>
          </w:p>
        </w:tc>
        <w:tc>
          <w:tcPr>
            <w:tcW w:w="1143" w:type="dxa"/>
            <w:shd w:val="clear" w:color="auto" w:fill="auto"/>
            <w:noWrap/>
            <w:vAlign w:val="center"/>
            <w:hideMark/>
          </w:tcPr>
          <w:p w14:paraId="270E9798" w14:textId="77777777" w:rsidR="00C07F34" w:rsidRPr="00965BDB" w:rsidRDefault="00C07F34" w:rsidP="00324D73">
            <w:pPr>
              <w:spacing w:line="240" w:lineRule="auto"/>
              <w:rPr>
                <w:color w:val="000000" w:themeColor="text1"/>
                <w:sz w:val="20"/>
                <w:szCs w:val="20"/>
                <w:lang w:val="en-US" w:eastAsia="de-DE"/>
              </w:rPr>
            </w:pPr>
            <w:r w:rsidRPr="00965BDB">
              <w:rPr>
                <w:color w:val="000000" w:themeColor="text1"/>
                <w:sz w:val="20"/>
                <w:szCs w:val="20"/>
                <w:lang w:val="en-US" w:eastAsia="de-DE"/>
              </w:rPr>
              <w:t>3.9%</w:t>
            </w:r>
          </w:p>
        </w:tc>
      </w:tr>
      <w:tr w:rsidR="00C07F34" w:rsidRPr="00965BDB" w14:paraId="1E1CE043" w14:textId="77777777" w:rsidTr="009A7469">
        <w:trPr>
          <w:trHeight w:val="300"/>
        </w:trPr>
        <w:tc>
          <w:tcPr>
            <w:tcW w:w="1276" w:type="dxa"/>
            <w:shd w:val="clear" w:color="auto" w:fill="auto"/>
            <w:noWrap/>
            <w:vAlign w:val="center"/>
            <w:hideMark/>
          </w:tcPr>
          <w:p w14:paraId="55B72C95" w14:textId="3B01C871"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5</w:t>
            </w:r>
          </w:p>
        </w:tc>
        <w:tc>
          <w:tcPr>
            <w:tcW w:w="1418" w:type="dxa"/>
            <w:shd w:val="clear" w:color="auto" w:fill="auto"/>
            <w:noWrap/>
            <w:vAlign w:val="center"/>
            <w:hideMark/>
          </w:tcPr>
          <w:p w14:paraId="6F3639DA"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3.0 (1.0)</w:t>
            </w:r>
          </w:p>
        </w:tc>
        <w:tc>
          <w:tcPr>
            <w:tcW w:w="1417" w:type="dxa"/>
            <w:shd w:val="clear" w:color="auto" w:fill="auto"/>
            <w:noWrap/>
            <w:vAlign w:val="center"/>
            <w:hideMark/>
          </w:tcPr>
          <w:p w14:paraId="0E56455A"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3.3 (1.0)</w:t>
            </w:r>
          </w:p>
        </w:tc>
        <w:tc>
          <w:tcPr>
            <w:tcW w:w="1060" w:type="dxa"/>
            <w:shd w:val="clear" w:color="auto" w:fill="auto"/>
            <w:noWrap/>
            <w:vAlign w:val="center"/>
            <w:hideMark/>
          </w:tcPr>
          <w:p w14:paraId="1EAF4991"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45A5F82C"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10.1%</w:t>
            </w:r>
          </w:p>
        </w:tc>
        <w:tc>
          <w:tcPr>
            <w:tcW w:w="1173" w:type="dxa"/>
            <w:shd w:val="clear" w:color="auto" w:fill="auto"/>
            <w:noWrap/>
            <w:vAlign w:val="center"/>
            <w:hideMark/>
          </w:tcPr>
          <w:p w14:paraId="0B2E882E"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9.6%</w:t>
            </w:r>
          </w:p>
        </w:tc>
        <w:tc>
          <w:tcPr>
            <w:tcW w:w="777" w:type="dxa"/>
            <w:shd w:val="clear" w:color="auto" w:fill="auto"/>
            <w:noWrap/>
            <w:vAlign w:val="center"/>
            <w:hideMark/>
          </w:tcPr>
          <w:p w14:paraId="132AF82C"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3.6%</w:t>
            </w:r>
          </w:p>
        </w:tc>
        <w:tc>
          <w:tcPr>
            <w:tcW w:w="1143" w:type="dxa"/>
            <w:shd w:val="clear" w:color="auto" w:fill="auto"/>
            <w:noWrap/>
            <w:vAlign w:val="center"/>
            <w:hideMark/>
          </w:tcPr>
          <w:p w14:paraId="727F70F2" w14:textId="77777777" w:rsidR="00C07F34" w:rsidRPr="00965BDB" w:rsidRDefault="00C07F34" w:rsidP="00324D73">
            <w:pPr>
              <w:spacing w:line="240" w:lineRule="auto"/>
              <w:rPr>
                <w:color w:val="000000" w:themeColor="text1"/>
                <w:sz w:val="20"/>
                <w:szCs w:val="20"/>
                <w:lang w:val="en-US" w:eastAsia="de-DE"/>
              </w:rPr>
            </w:pPr>
            <w:r w:rsidRPr="00965BDB">
              <w:rPr>
                <w:color w:val="000000" w:themeColor="text1"/>
                <w:sz w:val="20"/>
                <w:szCs w:val="20"/>
                <w:lang w:val="en-US" w:eastAsia="de-DE"/>
              </w:rPr>
              <w:t>3.5%</w:t>
            </w:r>
          </w:p>
        </w:tc>
      </w:tr>
    </w:tbl>
    <w:p w14:paraId="54D436FE"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color w:val="000000" w:themeColor="text1"/>
          <w:sz w:val="20"/>
          <w:szCs w:val="20"/>
        </w:rPr>
      </w:pPr>
    </w:p>
    <w:p w14:paraId="6C4E8124" w14:textId="5A0FD6B1"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3: Sample size n</w:t>
      </w:r>
      <w:r w:rsidR="0028070D">
        <w:rPr>
          <w:bCs/>
          <w:color w:val="000000" w:themeColor="text1"/>
          <w:sz w:val="20"/>
          <w:szCs w:val="20"/>
          <w:lang w:val="en-US" w:eastAsia="de-DE"/>
        </w:rPr>
        <w:t> </w:t>
      </w:r>
      <w:r w:rsidRPr="00965BDB">
        <w:rPr>
          <w:i w:val="0"/>
          <w:iCs w:val="0"/>
          <w:color w:val="000000" w:themeColor="text1"/>
          <w:sz w:val="20"/>
          <w:szCs w:val="20"/>
          <w:lang w:val="en-US"/>
        </w:rPr>
        <w:t>=</w:t>
      </w:r>
      <w:r w:rsidR="0028070D">
        <w:rPr>
          <w:bCs/>
          <w:color w:val="000000" w:themeColor="text1"/>
          <w:sz w:val="20"/>
          <w:szCs w:val="20"/>
          <w:lang w:val="en-US" w:eastAsia="de-DE"/>
        </w:rPr>
        <w:t> </w:t>
      </w:r>
      <w:r w:rsidRPr="00965BDB">
        <w:rPr>
          <w:i w:val="0"/>
          <w:iCs w:val="0"/>
          <w:color w:val="000000" w:themeColor="text1"/>
          <w:sz w:val="20"/>
          <w:szCs w:val="20"/>
          <w:lang w:val="en-US"/>
        </w:rPr>
        <w:t>30 / approximately normally distributed / effect size (ES)</w:t>
      </w:r>
    </w:p>
    <w:tbl>
      <w:tblPr>
        <w:tblW w:w="9145"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417"/>
        <w:gridCol w:w="1129"/>
        <w:gridCol w:w="851"/>
        <w:gridCol w:w="1134"/>
        <w:gridCol w:w="777"/>
        <w:gridCol w:w="1143"/>
      </w:tblGrid>
      <w:tr w:rsidR="00C07F34" w:rsidRPr="00965BDB" w14:paraId="2F9C7B96" w14:textId="77777777" w:rsidTr="00AD2769">
        <w:trPr>
          <w:trHeight w:val="300"/>
        </w:trPr>
        <w:tc>
          <w:tcPr>
            <w:tcW w:w="1276" w:type="dxa"/>
            <w:shd w:val="clear" w:color="auto" w:fill="auto"/>
            <w:noWrap/>
            <w:vAlign w:val="center"/>
            <w:hideMark/>
          </w:tcPr>
          <w:p w14:paraId="1ABD3E3D" w14:textId="16D6E762"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n</w:t>
            </w:r>
            <w:r w:rsidR="0028070D">
              <w:rPr>
                <w:bCs/>
                <w:color w:val="000000" w:themeColor="text1"/>
                <w:sz w:val="20"/>
                <w:szCs w:val="20"/>
                <w:lang w:val="en-US" w:eastAsia="de-DE"/>
              </w:rPr>
              <w:t> </w:t>
            </w:r>
            <w:r w:rsidRPr="00965BDB">
              <w:rPr>
                <w:bCs/>
                <w:color w:val="000000" w:themeColor="text1"/>
                <w:sz w:val="20"/>
                <w:szCs w:val="20"/>
                <w:lang w:val="en-US" w:eastAsia="de-DE"/>
              </w:rPr>
              <w:t>=</w:t>
            </w:r>
            <w:r w:rsidR="0028070D">
              <w:rPr>
                <w:bCs/>
                <w:color w:val="000000" w:themeColor="text1"/>
                <w:sz w:val="20"/>
                <w:szCs w:val="20"/>
                <w:lang w:val="en-US" w:eastAsia="de-DE"/>
              </w:rPr>
              <w:t> </w:t>
            </w:r>
            <w:r w:rsidRPr="00965BDB">
              <w:rPr>
                <w:bCs/>
                <w:color w:val="000000" w:themeColor="text1"/>
                <w:sz w:val="20"/>
                <w:szCs w:val="20"/>
                <w:lang w:val="en-US" w:eastAsia="de-DE"/>
              </w:rPr>
              <w:t>30</w:t>
            </w:r>
          </w:p>
        </w:tc>
        <w:tc>
          <w:tcPr>
            <w:tcW w:w="1418" w:type="dxa"/>
            <w:shd w:val="clear" w:color="auto" w:fill="auto"/>
            <w:noWrap/>
            <w:vAlign w:val="center"/>
            <w:hideMark/>
          </w:tcPr>
          <w:p w14:paraId="69095CE2"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Population 1</w:t>
            </w:r>
          </w:p>
        </w:tc>
        <w:tc>
          <w:tcPr>
            <w:tcW w:w="1417" w:type="dxa"/>
            <w:shd w:val="clear" w:color="auto" w:fill="auto"/>
            <w:noWrap/>
            <w:vAlign w:val="center"/>
            <w:hideMark/>
          </w:tcPr>
          <w:p w14:paraId="273D492F"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Population 2</w:t>
            </w:r>
          </w:p>
        </w:tc>
        <w:tc>
          <w:tcPr>
            <w:tcW w:w="1129" w:type="dxa"/>
            <w:shd w:val="clear" w:color="auto" w:fill="auto"/>
            <w:noWrap/>
            <w:vAlign w:val="center"/>
            <w:hideMark/>
          </w:tcPr>
          <w:p w14:paraId="752D45F2" w14:textId="77777777" w:rsidR="00C07F34" w:rsidRPr="00965BDB" w:rsidRDefault="00C07F34" w:rsidP="00DB32D0">
            <w:pPr>
              <w:spacing w:line="240" w:lineRule="auto"/>
              <w:rPr>
                <w:bCs/>
                <w:color w:val="000000" w:themeColor="text1"/>
                <w:sz w:val="20"/>
                <w:szCs w:val="20"/>
                <w:lang w:val="en-US" w:eastAsia="de-DE"/>
              </w:rPr>
            </w:pPr>
          </w:p>
        </w:tc>
        <w:tc>
          <w:tcPr>
            <w:tcW w:w="1985" w:type="dxa"/>
            <w:gridSpan w:val="2"/>
            <w:shd w:val="clear" w:color="auto" w:fill="auto"/>
            <w:noWrap/>
            <w:vAlign w:val="center"/>
            <w:hideMark/>
          </w:tcPr>
          <w:p w14:paraId="64E145C1" w14:textId="4E737024" w:rsidR="00C07F34" w:rsidRPr="00965BDB" w:rsidRDefault="00C07F34" w:rsidP="00DB32D0">
            <w:pPr>
              <w:spacing w:line="240" w:lineRule="auto"/>
              <w:ind w:left="3"/>
              <w:rPr>
                <w:bCs/>
                <w:color w:val="000000" w:themeColor="text1"/>
                <w:sz w:val="20"/>
                <w:szCs w:val="20"/>
                <w:lang w:val="en-US" w:eastAsia="de-DE"/>
              </w:rPr>
            </w:pPr>
            <w:r w:rsidRPr="00965BDB">
              <w:rPr>
                <w:bCs/>
                <w:color w:val="000000" w:themeColor="text1"/>
                <w:sz w:val="20"/>
                <w:szCs w:val="20"/>
                <w:lang w:val="en-US" w:eastAsia="de-DE"/>
              </w:rPr>
              <w:t>Samples out of population</w:t>
            </w:r>
            <w:r w:rsidR="00324D73">
              <w:rPr>
                <w:bCs/>
                <w:color w:val="000000" w:themeColor="text1"/>
                <w:sz w:val="20"/>
                <w:szCs w:val="20"/>
                <w:lang w:val="en-US" w:eastAsia="de-DE"/>
              </w:rPr>
              <w:t>s</w:t>
            </w:r>
            <w:r w:rsidRPr="00965BDB">
              <w:rPr>
                <w:bCs/>
                <w:color w:val="000000" w:themeColor="text1"/>
                <w:sz w:val="20"/>
                <w:szCs w:val="20"/>
                <w:lang w:val="en-US" w:eastAsia="de-DE"/>
              </w:rPr>
              <w:t xml:space="preserve"> 1</w:t>
            </w:r>
            <w:r w:rsidR="00324D73">
              <w:rPr>
                <w:bCs/>
                <w:color w:val="000000" w:themeColor="text1"/>
                <w:sz w:val="20"/>
                <w:szCs w:val="20"/>
                <w:lang w:val="en-US" w:eastAsia="de-DE"/>
              </w:rPr>
              <w:t xml:space="preserve"> and </w:t>
            </w:r>
            <w:r w:rsidRPr="00965BDB">
              <w:rPr>
                <w:bCs/>
                <w:color w:val="000000" w:themeColor="text1"/>
                <w:sz w:val="20"/>
                <w:szCs w:val="20"/>
                <w:lang w:val="en-US" w:eastAsia="de-DE"/>
              </w:rPr>
              <w:t>2</w:t>
            </w:r>
          </w:p>
        </w:tc>
        <w:tc>
          <w:tcPr>
            <w:tcW w:w="1920" w:type="dxa"/>
            <w:gridSpan w:val="2"/>
            <w:shd w:val="clear" w:color="auto" w:fill="auto"/>
            <w:noWrap/>
            <w:vAlign w:val="center"/>
            <w:hideMark/>
          </w:tcPr>
          <w:p w14:paraId="313DEC3C" w14:textId="77777777" w:rsidR="00C07F34" w:rsidRPr="00965BDB" w:rsidRDefault="00C07F34" w:rsidP="00DB32D0">
            <w:pPr>
              <w:spacing w:line="240" w:lineRule="auto"/>
              <w:ind w:left="-74"/>
              <w:rPr>
                <w:bCs/>
                <w:color w:val="000000" w:themeColor="text1"/>
                <w:sz w:val="20"/>
                <w:szCs w:val="20"/>
                <w:lang w:val="en-US" w:eastAsia="de-DE"/>
              </w:rPr>
            </w:pPr>
            <w:r w:rsidRPr="00965BDB">
              <w:rPr>
                <w:color w:val="000000" w:themeColor="text1"/>
                <w:sz w:val="20"/>
                <w:szCs w:val="20"/>
                <w:lang w:val="en-US" w:eastAsia="de-DE"/>
              </w:rPr>
              <w:t>Both samples</w:t>
            </w:r>
            <w:r w:rsidRPr="00965BDB">
              <w:rPr>
                <w:bCs/>
                <w:color w:val="000000" w:themeColor="text1"/>
                <w:sz w:val="20"/>
                <w:szCs w:val="20"/>
                <w:lang w:val="en-US" w:eastAsia="de-DE"/>
              </w:rPr>
              <w:t xml:space="preserve"> out of population 1</w:t>
            </w:r>
          </w:p>
        </w:tc>
      </w:tr>
      <w:tr w:rsidR="00C07F34" w:rsidRPr="00965BDB" w14:paraId="4BE0CEA9" w14:textId="77777777" w:rsidTr="009A7469">
        <w:trPr>
          <w:trHeight w:val="300"/>
        </w:trPr>
        <w:tc>
          <w:tcPr>
            <w:tcW w:w="1276" w:type="dxa"/>
            <w:shd w:val="clear" w:color="auto" w:fill="auto"/>
            <w:noWrap/>
            <w:vAlign w:val="center"/>
            <w:hideMark/>
          </w:tcPr>
          <w:p w14:paraId="213DEF67" w14:textId="77777777" w:rsidR="00C07F34" w:rsidRPr="00965BDB" w:rsidRDefault="00C07F34" w:rsidP="00DB32D0">
            <w:pPr>
              <w:spacing w:line="240" w:lineRule="auto"/>
              <w:rPr>
                <w:bCs/>
                <w:color w:val="000000" w:themeColor="text1"/>
                <w:sz w:val="20"/>
                <w:szCs w:val="20"/>
                <w:lang w:val="en-US" w:eastAsia="de-DE"/>
              </w:rPr>
            </w:pPr>
          </w:p>
        </w:tc>
        <w:tc>
          <w:tcPr>
            <w:tcW w:w="1418" w:type="dxa"/>
            <w:shd w:val="clear" w:color="auto" w:fill="auto"/>
            <w:noWrap/>
            <w:vAlign w:val="center"/>
            <w:hideMark/>
          </w:tcPr>
          <w:p w14:paraId="601607F3"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mean 1 (SD 1)</w:t>
            </w:r>
          </w:p>
        </w:tc>
        <w:tc>
          <w:tcPr>
            <w:tcW w:w="1417" w:type="dxa"/>
            <w:shd w:val="clear" w:color="auto" w:fill="auto"/>
            <w:noWrap/>
            <w:vAlign w:val="center"/>
            <w:hideMark/>
          </w:tcPr>
          <w:p w14:paraId="483BE4B2"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mean 2 (SD 2)</w:t>
            </w:r>
          </w:p>
        </w:tc>
        <w:tc>
          <w:tcPr>
            <w:tcW w:w="1129" w:type="dxa"/>
            <w:shd w:val="clear" w:color="auto" w:fill="auto"/>
            <w:noWrap/>
            <w:vAlign w:val="center"/>
            <w:hideMark/>
          </w:tcPr>
          <w:p w14:paraId="3CC15E53"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ES</w:t>
            </w:r>
          </w:p>
        </w:tc>
        <w:tc>
          <w:tcPr>
            <w:tcW w:w="851" w:type="dxa"/>
            <w:shd w:val="clear" w:color="auto" w:fill="auto"/>
            <w:noWrap/>
            <w:vAlign w:val="center"/>
            <w:hideMark/>
          </w:tcPr>
          <w:p w14:paraId="614C71F0" w14:textId="77777777" w:rsidR="00C07F34" w:rsidRPr="00965BDB" w:rsidRDefault="00C07F34" w:rsidP="00DB32D0">
            <w:pPr>
              <w:spacing w:line="240" w:lineRule="auto"/>
              <w:ind w:left="57" w:right="57"/>
              <w:rPr>
                <w:bCs/>
                <w:color w:val="000000" w:themeColor="text1"/>
                <w:sz w:val="20"/>
                <w:szCs w:val="20"/>
                <w:lang w:val="en-US" w:eastAsia="de-DE"/>
              </w:rPr>
            </w:pPr>
            <w:r w:rsidRPr="00965BDB">
              <w:rPr>
                <w:bCs/>
                <w:color w:val="000000" w:themeColor="text1"/>
                <w:sz w:val="20"/>
                <w:szCs w:val="20"/>
                <w:lang w:val="en-US" w:eastAsia="de-DE"/>
              </w:rPr>
              <w:t>t-test</w:t>
            </w:r>
          </w:p>
        </w:tc>
        <w:tc>
          <w:tcPr>
            <w:tcW w:w="1134" w:type="dxa"/>
            <w:shd w:val="clear" w:color="auto" w:fill="auto"/>
            <w:noWrap/>
            <w:vAlign w:val="center"/>
            <w:hideMark/>
          </w:tcPr>
          <w:p w14:paraId="4CBBF195"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U-Test</w:t>
            </w:r>
          </w:p>
        </w:tc>
        <w:tc>
          <w:tcPr>
            <w:tcW w:w="777" w:type="dxa"/>
            <w:shd w:val="clear" w:color="auto" w:fill="auto"/>
            <w:noWrap/>
            <w:vAlign w:val="center"/>
            <w:hideMark/>
          </w:tcPr>
          <w:p w14:paraId="612FC276"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t-test</w:t>
            </w:r>
          </w:p>
        </w:tc>
        <w:tc>
          <w:tcPr>
            <w:tcW w:w="1143" w:type="dxa"/>
            <w:shd w:val="clear" w:color="auto" w:fill="auto"/>
            <w:noWrap/>
            <w:vAlign w:val="center"/>
            <w:hideMark/>
          </w:tcPr>
          <w:p w14:paraId="004400D6" w14:textId="77777777" w:rsidR="00C07F34" w:rsidRPr="00965BDB" w:rsidRDefault="00C07F34" w:rsidP="00324D73">
            <w:pPr>
              <w:spacing w:line="240" w:lineRule="auto"/>
              <w:rPr>
                <w:bCs/>
                <w:color w:val="000000" w:themeColor="text1"/>
                <w:sz w:val="20"/>
                <w:szCs w:val="20"/>
                <w:lang w:val="en-US" w:eastAsia="de-DE"/>
              </w:rPr>
            </w:pPr>
            <w:r w:rsidRPr="00965BDB">
              <w:rPr>
                <w:bCs/>
                <w:color w:val="000000" w:themeColor="text1"/>
                <w:sz w:val="20"/>
                <w:szCs w:val="20"/>
                <w:lang w:val="en-US" w:eastAsia="de-DE"/>
              </w:rPr>
              <w:t>U-Test</w:t>
            </w:r>
          </w:p>
        </w:tc>
      </w:tr>
      <w:tr w:rsidR="00C07F34" w:rsidRPr="00965BDB" w14:paraId="7D503627" w14:textId="77777777" w:rsidTr="009A7469">
        <w:trPr>
          <w:trHeight w:val="300"/>
        </w:trPr>
        <w:tc>
          <w:tcPr>
            <w:tcW w:w="1276" w:type="dxa"/>
            <w:shd w:val="clear" w:color="auto" w:fill="auto"/>
            <w:noWrap/>
            <w:vAlign w:val="center"/>
            <w:hideMark/>
          </w:tcPr>
          <w:p w14:paraId="0A64F6BA" w14:textId="3DA1EDCB"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100</w:t>
            </w:r>
          </w:p>
        </w:tc>
        <w:tc>
          <w:tcPr>
            <w:tcW w:w="1418" w:type="dxa"/>
            <w:shd w:val="clear" w:color="auto" w:fill="auto"/>
            <w:noWrap/>
            <w:vAlign w:val="center"/>
            <w:hideMark/>
          </w:tcPr>
          <w:p w14:paraId="5E59EA73"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50.0 (16.5)</w:t>
            </w:r>
          </w:p>
        </w:tc>
        <w:tc>
          <w:tcPr>
            <w:tcW w:w="1417" w:type="dxa"/>
            <w:shd w:val="clear" w:color="auto" w:fill="auto"/>
            <w:noWrap/>
            <w:vAlign w:val="center"/>
            <w:hideMark/>
          </w:tcPr>
          <w:p w14:paraId="3A84366A"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55.0 (16.5)</w:t>
            </w:r>
          </w:p>
        </w:tc>
        <w:tc>
          <w:tcPr>
            <w:tcW w:w="1129" w:type="dxa"/>
            <w:shd w:val="clear" w:color="auto" w:fill="auto"/>
            <w:noWrap/>
            <w:vAlign w:val="center"/>
            <w:hideMark/>
          </w:tcPr>
          <w:p w14:paraId="7D2844EA"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0CE8BEFF" w14:textId="77777777" w:rsidR="00C07F34" w:rsidRPr="00965BDB" w:rsidRDefault="00C07F34" w:rsidP="00DB32D0">
            <w:pPr>
              <w:spacing w:line="240" w:lineRule="auto"/>
              <w:ind w:right="-239" w:firstLine="3"/>
              <w:rPr>
                <w:bCs/>
                <w:color w:val="000000" w:themeColor="text1"/>
                <w:sz w:val="20"/>
                <w:szCs w:val="20"/>
                <w:lang w:val="en-US" w:eastAsia="de-DE"/>
              </w:rPr>
            </w:pPr>
            <w:r w:rsidRPr="00965BDB">
              <w:rPr>
                <w:bCs/>
                <w:color w:val="000000" w:themeColor="text1"/>
                <w:sz w:val="20"/>
                <w:szCs w:val="20"/>
                <w:lang w:val="en-US" w:eastAsia="de-DE"/>
              </w:rPr>
              <w:t>21.4%</w:t>
            </w:r>
          </w:p>
        </w:tc>
        <w:tc>
          <w:tcPr>
            <w:tcW w:w="1134" w:type="dxa"/>
            <w:shd w:val="clear" w:color="auto" w:fill="auto"/>
            <w:noWrap/>
            <w:vAlign w:val="center"/>
            <w:hideMark/>
          </w:tcPr>
          <w:p w14:paraId="57F3E506"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19.5%</w:t>
            </w:r>
          </w:p>
        </w:tc>
        <w:tc>
          <w:tcPr>
            <w:tcW w:w="777" w:type="dxa"/>
            <w:shd w:val="clear" w:color="auto" w:fill="auto"/>
            <w:noWrap/>
            <w:vAlign w:val="center"/>
            <w:hideMark/>
          </w:tcPr>
          <w:p w14:paraId="42A5ED59"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4.8%</w:t>
            </w:r>
          </w:p>
        </w:tc>
        <w:tc>
          <w:tcPr>
            <w:tcW w:w="1143" w:type="dxa"/>
            <w:shd w:val="clear" w:color="auto" w:fill="auto"/>
            <w:noWrap/>
            <w:vAlign w:val="center"/>
            <w:hideMark/>
          </w:tcPr>
          <w:p w14:paraId="728F44D3" w14:textId="77777777" w:rsidR="00C07F34" w:rsidRPr="00965BDB" w:rsidRDefault="00C07F34" w:rsidP="00324D73">
            <w:pPr>
              <w:spacing w:line="240" w:lineRule="auto"/>
              <w:rPr>
                <w:bCs/>
                <w:color w:val="000000" w:themeColor="text1"/>
                <w:sz w:val="20"/>
                <w:szCs w:val="20"/>
                <w:lang w:val="en-US" w:eastAsia="de-DE"/>
              </w:rPr>
            </w:pPr>
            <w:r w:rsidRPr="00965BDB">
              <w:rPr>
                <w:bCs/>
                <w:color w:val="000000" w:themeColor="text1"/>
                <w:sz w:val="20"/>
                <w:szCs w:val="20"/>
                <w:lang w:val="en-US" w:eastAsia="de-DE"/>
              </w:rPr>
              <w:t>5.3%</w:t>
            </w:r>
          </w:p>
        </w:tc>
      </w:tr>
      <w:tr w:rsidR="00C07F34" w:rsidRPr="00965BDB" w14:paraId="19B0FE58" w14:textId="77777777" w:rsidTr="009A7469">
        <w:trPr>
          <w:trHeight w:val="300"/>
        </w:trPr>
        <w:tc>
          <w:tcPr>
            <w:tcW w:w="1276" w:type="dxa"/>
            <w:shd w:val="clear" w:color="auto" w:fill="auto"/>
            <w:noWrap/>
            <w:vAlign w:val="center"/>
            <w:hideMark/>
          </w:tcPr>
          <w:p w14:paraId="093A7EC4" w14:textId="082C60FD"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7</w:t>
            </w:r>
          </w:p>
        </w:tc>
        <w:tc>
          <w:tcPr>
            <w:tcW w:w="1418" w:type="dxa"/>
            <w:shd w:val="clear" w:color="auto" w:fill="auto"/>
            <w:noWrap/>
            <w:vAlign w:val="center"/>
            <w:hideMark/>
          </w:tcPr>
          <w:p w14:paraId="241DDDC7"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4.0 (1.2)</w:t>
            </w:r>
          </w:p>
        </w:tc>
        <w:tc>
          <w:tcPr>
            <w:tcW w:w="1417" w:type="dxa"/>
            <w:shd w:val="clear" w:color="auto" w:fill="auto"/>
            <w:noWrap/>
            <w:vAlign w:val="center"/>
            <w:hideMark/>
          </w:tcPr>
          <w:p w14:paraId="28D1D417"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4.4 (1.2)</w:t>
            </w:r>
          </w:p>
        </w:tc>
        <w:tc>
          <w:tcPr>
            <w:tcW w:w="1129" w:type="dxa"/>
            <w:shd w:val="clear" w:color="auto" w:fill="auto"/>
            <w:noWrap/>
            <w:vAlign w:val="center"/>
            <w:hideMark/>
          </w:tcPr>
          <w:p w14:paraId="14C2440F"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7BB9B4C9" w14:textId="77777777" w:rsidR="00C07F34" w:rsidRPr="00965BDB" w:rsidRDefault="00C07F34" w:rsidP="00DB32D0">
            <w:pPr>
              <w:spacing w:line="240" w:lineRule="auto"/>
              <w:ind w:right="-239" w:firstLine="3"/>
              <w:rPr>
                <w:bCs/>
                <w:color w:val="000000" w:themeColor="text1"/>
                <w:sz w:val="20"/>
                <w:szCs w:val="20"/>
                <w:lang w:val="en-US" w:eastAsia="de-DE"/>
              </w:rPr>
            </w:pPr>
            <w:r w:rsidRPr="00965BDB">
              <w:rPr>
                <w:bCs/>
                <w:color w:val="000000" w:themeColor="text1"/>
                <w:sz w:val="20"/>
                <w:szCs w:val="20"/>
                <w:lang w:val="en-US" w:eastAsia="de-DE"/>
              </w:rPr>
              <w:t>20.5%</w:t>
            </w:r>
          </w:p>
        </w:tc>
        <w:tc>
          <w:tcPr>
            <w:tcW w:w="1134" w:type="dxa"/>
            <w:shd w:val="clear" w:color="auto" w:fill="auto"/>
            <w:noWrap/>
            <w:vAlign w:val="center"/>
            <w:hideMark/>
          </w:tcPr>
          <w:p w14:paraId="1E596BD9"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19.3%</w:t>
            </w:r>
          </w:p>
        </w:tc>
        <w:tc>
          <w:tcPr>
            <w:tcW w:w="777" w:type="dxa"/>
            <w:shd w:val="clear" w:color="auto" w:fill="auto"/>
            <w:noWrap/>
            <w:vAlign w:val="center"/>
            <w:hideMark/>
          </w:tcPr>
          <w:p w14:paraId="678B1BCD"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5.1%</w:t>
            </w:r>
          </w:p>
        </w:tc>
        <w:tc>
          <w:tcPr>
            <w:tcW w:w="1143" w:type="dxa"/>
            <w:shd w:val="clear" w:color="auto" w:fill="auto"/>
            <w:noWrap/>
            <w:vAlign w:val="center"/>
            <w:hideMark/>
          </w:tcPr>
          <w:p w14:paraId="5EB67B9C" w14:textId="77777777" w:rsidR="00C07F34" w:rsidRPr="00965BDB" w:rsidRDefault="00C07F34" w:rsidP="00324D73">
            <w:pPr>
              <w:spacing w:line="240" w:lineRule="auto"/>
              <w:rPr>
                <w:bCs/>
                <w:color w:val="000000" w:themeColor="text1"/>
                <w:sz w:val="20"/>
                <w:szCs w:val="20"/>
                <w:lang w:val="en-US" w:eastAsia="de-DE"/>
              </w:rPr>
            </w:pPr>
            <w:r w:rsidRPr="00965BDB">
              <w:rPr>
                <w:bCs/>
                <w:color w:val="000000" w:themeColor="text1"/>
                <w:sz w:val="20"/>
                <w:szCs w:val="20"/>
                <w:lang w:val="en-US" w:eastAsia="de-DE"/>
              </w:rPr>
              <w:t>5.0%</w:t>
            </w:r>
          </w:p>
        </w:tc>
      </w:tr>
      <w:tr w:rsidR="00C07F34" w:rsidRPr="00965BDB" w14:paraId="0AB72DCF" w14:textId="77777777" w:rsidTr="009A7469">
        <w:trPr>
          <w:trHeight w:val="300"/>
        </w:trPr>
        <w:tc>
          <w:tcPr>
            <w:tcW w:w="1276" w:type="dxa"/>
            <w:shd w:val="clear" w:color="auto" w:fill="auto"/>
            <w:noWrap/>
            <w:vAlign w:val="center"/>
            <w:hideMark/>
          </w:tcPr>
          <w:p w14:paraId="361A344F" w14:textId="29916E0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5</w:t>
            </w:r>
          </w:p>
        </w:tc>
        <w:tc>
          <w:tcPr>
            <w:tcW w:w="1418" w:type="dxa"/>
            <w:shd w:val="clear" w:color="auto" w:fill="auto"/>
            <w:noWrap/>
            <w:vAlign w:val="center"/>
            <w:hideMark/>
          </w:tcPr>
          <w:p w14:paraId="26559956"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3.0 (1.0)</w:t>
            </w:r>
          </w:p>
        </w:tc>
        <w:tc>
          <w:tcPr>
            <w:tcW w:w="1417" w:type="dxa"/>
            <w:shd w:val="clear" w:color="auto" w:fill="auto"/>
            <w:noWrap/>
            <w:vAlign w:val="center"/>
            <w:hideMark/>
          </w:tcPr>
          <w:p w14:paraId="3CE83B87"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3.3 (1.0)</w:t>
            </w:r>
          </w:p>
        </w:tc>
        <w:tc>
          <w:tcPr>
            <w:tcW w:w="1129" w:type="dxa"/>
            <w:shd w:val="clear" w:color="auto" w:fill="auto"/>
            <w:noWrap/>
            <w:vAlign w:val="center"/>
            <w:hideMark/>
          </w:tcPr>
          <w:p w14:paraId="3440883B"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2AB6FF46" w14:textId="77777777" w:rsidR="00C07F34" w:rsidRPr="00965BDB" w:rsidRDefault="00C07F34" w:rsidP="00DB32D0">
            <w:pPr>
              <w:spacing w:line="240" w:lineRule="auto"/>
              <w:ind w:right="-239" w:firstLine="3"/>
              <w:rPr>
                <w:bCs/>
                <w:color w:val="000000" w:themeColor="text1"/>
                <w:sz w:val="20"/>
                <w:szCs w:val="20"/>
                <w:lang w:val="en-US" w:eastAsia="de-DE"/>
              </w:rPr>
            </w:pPr>
            <w:r w:rsidRPr="00965BDB">
              <w:rPr>
                <w:bCs/>
                <w:color w:val="000000" w:themeColor="text1"/>
                <w:sz w:val="20"/>
                <w:szCs w:val="20"/>
                <w:lang w:val="en-US" w:eastAsia="de-DE"/>
              </w:rPr>
              <w:t>21.4%</w:t>
            </w:r>
          </w:p>
        </w:tc>
        <w:tc>
          <w:tcPr>
            <w:tcW w:w="1134" w:type="dxa"/>
            <w:shd w:val="clear" w:color="auto" w:fill="auto"/>
            <w:noWrap/>
            <w:vAlign w:val="center"/>
            <w:hideMark/>
          </w:tcPr>
          <w:p w14:paraId="496BF0FA"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20.6%</w:t>
            </w:r>
          </w:p>
        </w:tc>
        <w:tc>
          <w:tcPr>
            <w:tcW w:w="777" w:type="dxa"/>
            <w:shd w:val="clear" w:color="auto" w:fill="auto"/>
            <w:noWrap/>
            <w:vAlign w:val="center"/>
            <w:hideMark/>
          </w:tcPr>
          <w:p w14:paraId="4D088AC6"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4.9%</w:t>
            </w:r>
          </w:p>
        </w:tc>
        <w:tc>
          <w:tcPr>
            <w:tcW w:w="1143" w:type="dxa"/>
            <w:shd w:val="clear" w:color="auto" w:fill="auto"/>
            <w:noWrap/>
            <w:vAlign w:val="center"/>
            <w:hideMark/>
          </w:tcPr>
          <w:p w14:paraId="5BC0B39B" w14:textId="77777777" w:rsidR="00C07F34" w:rsidRPr="00965BDB" w:rsidRDefault="00C07F34" w:rsidP="00324D73">
            <w:pPr>
              <w:spacing w:line="240" w:lineRule="auto"/>
              <w:rPr>
                <w:bCs/>
                <w:color w:val="000000" w:themeColor="text1"/>
                <w:sz w:val="20"/>
                <w:szCs w:val="20"/>
                <w:lang w:val="en-US" w:eastAsia="de-DE"/>
              </w:rPr>
            </w:pPr>
            <w:r w:rsidRPr="00965BDB">
              <w:rPr>
                <w:bCs/>
                <w:color w:val="000000" w:themeColor="text1"/>
                <w:sz w:val="20"/>
                <w:szCs w:val="20"/>
                <w:lang w:val="en-US" w:eastAsia="de-DE"/>
              </w:rPr>
              <w:t>4.6%</w:t>
            </w:r>
          </w:p>
        </w:tc>
      </w:tr>
    </w:tbl>
    <w:p w14:paraId="30651247"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bCs/>
          <w:color w:val="000000" w:themeColor="text1"/>
          <w:sz w:val="20"/>
          <w:szCs w:val="20"/>
        </w:rPr>
      </w:pPr>
    </w:p>
    <w:p w14:paraId="307AEA7C" w14:textId="0C031E13" w:rsidR="00C07F34" w:rsidRPr="00965BDB" w:rsidRDefault="00C07F34" w:rsidP="00DB32D0">
      <w:pPr>
        <w:pStyle w:val="Beschriftung"/>
        <w:keepNext/>
        <w:jc w:val="both"/>
        <w:rPr>
          <w:bCs/>
          <w:i w:val="0"/>
          <w:iCs w:val="0"/>
          <w:color w:val="000000" w:themeColor="text1"/>
          <w:sz w:val="20"/>
          <w:szCs w:val="20"/>
          <w:lang w:val="en-US"/>
        </w:rPr>
      </w:pPr>
      <w:r w:rsidRPr="00965BDB">
        <w:rPr>
          <w:bCs/>
          <w:i w:val="0"/>
          <w:iCs w:val="0"/>
          <w:color w:val="000000" w:themeColor="text1"/>
          <w:sz w:val="20"/>
          <w:szCs w:val="20"/>
          <w:lang w:val="en-US"/>
        </w:rPr>
        <w:t>Table 4: Sample size n=139 / approximately normally distributed / effect size (ES)</w:t>
      </w:r>
    </w:p>
    <w:tbl>
      <w:tblPr>
        <w:tblW w:w="9214"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280"/>
        <w:gridCol w:w="137"/>
        <w:gridCol w:w="1134"/>
        <w:gridCol w:w="851"/>
        <w:gridCol w:w="1062"/>
        <w:gridCol w:w="111"/>
        <w:gridCol w:w="777"/>
        <w:gridCol w:w="1143"/>
        <w:gridCol w:w="25"/>
      </w:tblGrid>
      <w:tr w:rsidR="00C07F34" w:rsidRPr="00965BDB" w14:paraId="7F91089B" w14:textId="77777777" w:rsidTr="00AD2769">
        <w:trPr>
          <w:gridAfter w:val="1"/>
          <w:wAfter w:w="25" w:type="dxa"/>
          <w:trHeight w:val="300"/>
        </w:trPr>
        <w:tc>
          <w:tcPr>
            <w:tcW w:w="1276" w:type="dxa"/>
            <w:shd w:val="clear" w:color="auto" w:fill="auto"/>
            <w:noWrap/>
            <w:vAlign w:val="center"/>
            <w:hideMark/>
          </w:tcPr>
          <w:p w14:paraId="768275D4" w14:textId="00D7871D"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n</w:t>
            </w:r>
            <w:r w:rsidR="00D31C92">
              <w:rPr>
                <w:bCs/>
                <w:color w:val="000000" w:themeColor="text1"/>
                <w:sz w:val="20"/>
                <w:szCs w:val="20"/>
                <w:lang w:val="en-US" w:eastAsia="de-DE"/>
              </w:rPr>
              <w:t> </w:t>
            </w:r>
            <w:r w:rsidRPr="00965BDB">
              <w:rPr>
                <w:bCs/>
                <w:color w:val="000000" w:themeColor="text1"/>
                <w:sz w:val="20"/>
                <w:szCs w:val="20"/>
                <w:lang w:val="en-US" w:eastAsia="de-DE"/>
              </w:rPr>
              <w:t>=</w:t>
            </w:r>
            <w:r w:rsidR="00D31C92">
              <w:rPr>
                <w:bCs/>
                <w:color w:val="000000" w:themeColor="text1"/>
                <w:sz w:val="20"/>
                <w:szCs w:val="20"/>
                <w:lang w:val="en-US" w:eastAsia="de-DE"/>
              </w:rPr>
              <w:t> </w:t>
            </w:r>
            <w:r w:rsidRPr="00965BDB">
              <w:rPr>
                <w:bCs/>
                <w:color w:val="000000" w:themeColor="text1"/>
                <w:sz w:val="20"/>
                <w:szCs w:val="20"/>
                <w:lang w:val="en-US" w:eastAsia="de-DE"/>
              </w:rPr>
              <w:t>139</w:t>
            </w:r>
          </w:p>
        </w:tc>
        <w:tc>
          <w:tcPr>
            <w:tcW w:w="1418" w:type="dxa"/>
            <w:shd w:val="clear" w:color="auto" w:fill="auto"/>
            <w:noWrap/>
            <w:vAlign w:val="center"/>
            <w:hideMark/>
          </w:tcPr>
          <w:p w14:paraId="05EF3D9B"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Population 1</w:t>
            </w:r>
          </w:p>
        </w:tc>
        <w:tc>
          <w:tcPr>
            <w:tcW w:w="1280" w:type="dxa"/>
            <w:shd w:val="clear" w:color="auto" w:fill="auto"/>
            <w:noWrap/>
            <w:vAlign w:val="center"/>
            <w:hideMark/>
          </w:tcPr>
          <w:p w14:paraId="461B12E3"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Population 2</w:t>
            </w:r>
          </w:p>
        </w:tc>
        <w:tc>
          <w:tcPr>
            <w:tcW w:w="1271" w:type="dxa"/>
            <w:gridSpan w:val="2"/>
            <w:shd w:val="clear" w:color="auto" w:fill="auto"/>
            <w:noWrap/>
            <w:vAlign w:val="center"/>
            <w:hideMark/>
          </w:tcPr>
          <w:p w14:paraId="17B0756B" w14:textId="77777777" w:rsidR="00C07F34" w:rsidRPr="00965BDB" w:rsidRDefault="00C07F34" w:rsidP="00DB32D0">
            <w:pPr>
              <w:spacing w:line="240" w:lineRule="auto"/>
              <w:jc w:val="both"/>
              <w:rPr>
                <w:bCs/>
                <w:color w:val="000000" w:themeColor="text1"/>
                <w:sz w:val="20"/>
                <w:szCs w:val="20"/>
                <w:lang w:val="en-US" w:eastAsia="de-DE"/>
              </w:rPr>
            </w:pPr>
          </w:p>
        </w:tc>
        <w:tc>
          <w:tcPr>
            <w:tcW w:w="1913" w:type="dxa"/>
            <w:gridSpan w:val="2"/>
            <w:shd w:val="clear" w:color="auto" w:fill="auto"/>
            <w:noWrap/>
            <w:vAlign w:val="center"/>
            <w:hideMark/>
          </w:tcPr>
          <w:p w14:paraId="67955360" w14:textId="4B36CB26"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Samples out of population</w:t>
            </w:r>
            <w:r w:rsidR="00324D73">
              <w:rPr>
                <w:bCs/>
                <w:color w:val="000000" w:themeColor="text1"/>
                <w:sz w:val="20"/>
                <w:szCs w:val="20"/>
                <w:lang w:val="en-US" w:eastAsia="de-DE"/>
              </w:rPr>
              <w:t>s</w:t>
            </w:r>
            <w:r w:rsidRPr="00965BDB">
              <w:rPr>
                <w:bCs/>
                <w:color w:val="000000" w:themeColor="text1"/>
                <w:sz w:val="20"/>
                <w:szCs w:val="20"/>
                <w:lang w:val="en-US" w:eastAsia="de-DE"/>
              </w:rPr>
              <w:t xml:space="preserve"> 1</w:t>
            </w:r>
            <w:r w:rsidR="00324D73">
              <w:rPr>
                <w:bCs/>
                <w:color w:val="000000" w:themeColor="text1"/>
                <w:sz w:val="20"/>
                <w:szCs w:val="20"/>
                <w:lang w:val="en-US" w:eastAsia="de-DE"/>
              </w:rPr>
              <w:t xml:space="preserve"> and </w:t>
            </w:r>
            <w:r w:rsidRPr="00965BDB">
              <w:rPr>
                <w:bCs/>
                <w:color w:val="000000" w:themeColor="text1"/>
                <w:sz w:val="20"/>
                <w:szCs w:val="20"/>
                <w:lang w:val="en-US" w:eastAsia="de-DE"/>
              </w:rPr>
              <w:t>2</w:t>
            </w:r>
          </w:p>
        </w:tc>
        <w:tc>
          <w:tcPr>
            <w:tcW w:w="2031" w:type="dxa"/>
            <w:gridSpan w:val="3"/>
            <w:shd w:val="clear" w:color="auto" w:fill="auto"/>
            <w:noWrap/>
            <w:vAlign w:val="center"/>
            <w:hideMark/>
          </w:tcPr>
          <w:p w14:paraId="66AC6AFB" w14:textId="77777777" w:rsidR="00C07F34" w:rsidRPr="00965BDB" w:rsidRDefault="00C07F34" w:rsidP="00DB32D0">
            <w:pPr>
              <w:spacing w:line="240" w:lineRule="auto"/>
              <w:rPr>
                <w:bCs/>
                <w:color w:val="000000" w:themeColor="text1"/>
                <w:sz w:val="20"/>
                <w:szCs w:val="20"/>
                <w:lang w:val="en-US" w:eastAsia="de-DE"/>
              </w:rPr>
            </w:pPr>
            <w:r w:rsidRPr="00965BDB">
              <w:rPr>
                <w:color w:val="000000" w:themeColor="text1"/>
                <w:sz w:val="20"/>
                <w:szCs w:val="20"/>
                <w:lang w:val="en-US" w:eastAsia="de-DE"/>
              </w:rPr>
              <w:t>Both samples</w:t>
            </w:r>
            <w:r w:rsidRPr="00965BDB">
              <w:rPr>
                <w:bCs/>
                <w:color w:val="000000" w:themeColor="text1"/>
                <w:sz w:val="20"/>
                <w:szCs w:val="20"/>
                <w:lang w:val="en-US" w:eastAsia="de-DE"/>
              </w:rPr>
              <w:t xml:space="preserve"> out of population 1</w:t>
            </w:r>
          </w:p>
        </w:tc>
      </w:tr>
      <w:tr w:rsidR="00C07F34" w:rsidRPr="00965BDB" w14:paraId="0D4FB97F" w14:textId="77777777" w:rsidTr="009A7469">
        <w:trPr>
          <w:trHeight w:val="300"/>
        </w:trPr>
        <w:tc>
          <w:tcPr>
            <w:tcW w:w="1276" w:type="dxa"/>
            <w:shd w:val="clear" w:color="auto" w:fill="auto"/>
            <w:noWrap/>
            <w:vAlign w:val="center"/>
            <w:hideMark/>
          </w:tcPr>
          <w:p w14:paraId="7A0411F3" w14:textId="77777777" w:rsidR="00C07F34" w:rsidRPr="00965BDB" w:rsidRDefault="00C07F34" w:rsidP="00DB32D0">
            <w:pPr>
              <w:spacing w:line="240" w:lineRule="auto"/>
              <w:jc w:val="both"/>
              <w:rPr>
                <w:bCs/>
                <w:color w:val="000000" w:themeColor="text1"/>
                <w:sz w:val="20"/>
                <w:szCs w:val="20"/>
                <w:lang w:val="en-US" w:eastAsia="de-DE"/>
              </w:rPr>
            </w:pPr>
          </w:p>
        </w:tc>
        <w:tc>
          <w:tcPr>
            <w:tcW w:w="1418" w:type="dxa"/>
            <w:shd w:val="clear" w:color="auto" w:fill="auto"/>
            <w:noWrap/>
            <w:vAlign w:val="center"/>
            <w:hideMark/>
          </w:tcPr>
          <w:p w14:paraId="093189FF"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mean 1 (SD 1)</w:t>
            </w:r>
          </w:p>
        </w:tc>
        <w:tc>
          <w:tcPr>
            <w:tcW w:w="1417" w:type="dxa"/>
            <w:gridSpan w:val="2"/>
            <w:shd w:val="clear" w:color="auto" w:fill="auto"/>
            <w:noWrap/>
            <w:vAlign w:val="center"/>
            <w:hideMark/>
          </w:tcPr>
          <w:p w14:paraId="4C87B2B5"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mean 2 (SD 2)</w:t>
            </w:r>
          </w:p>
        </w:tc>
        <w:tc>
          <w:tcPr>
            <w:tcW w:w="1134" w:type="dxa"/>
            <w:shd w:val="clear" w:color="auto" w:fill="auto"/>
            <w:noWrap/>
            <w:vAlign w:val="center"/>
            <w:hideMark/>
          </w:tcPr>
          <w:p w14:paraId="0CDFB701"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ES</w:t>
            </w:r>
          </w:p>
        </w:tc>
        <w:tc>
          <w:tcPr>
            <w:tcW w:w="851" w:type="dxa"/>
            <w:shd w:val="clear" w:color="auto" w:fill="auto"/>
            <w:noWrap/>
            <w:vAlign w:val="center"/>
            <w:hideMark/>
          </w:tcPr>
          <w:p w14:paraId="7D7C4E64"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t-test</w:t>
            </w:r>
          </w:p>
        </w:tc>
        <w:tc>
          <w:tcPr>
            <w:tcW w:w="1173" w:type="dxa"/>
            <w:gridSpan w:val="2"/>
            <w:shd w:val="clear" w:color="auto" w:fill="auto"/>
            <w:noWrap/>
            <w:vAlign w:val="center"/>
            <w:hideMark/>
          </w:tcPr>
          <w:p w14:paraId="24D858E7"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U-Test</w:t>
            </w:r>
          </w:p>
        </w:tc>
        <w:tc>
          <w:tcPr>
            <w:tcW w:w="777" w:type="dxa"/>
            <w:shd w:val="clear" w:color="auto" w:fill="auto"/>
            <w:noWrap/>
            <w:vAlign w:val="center"/>
            <w:hideMark/>
          </w:tcPr>
          <w:p w14:paraId="1AD75217" w14:textId="77777777" w:rsidR="00C07F34" w:rsidRPr="00965BDB" w:rsidRDefault="00C07F34" w:rsidP="00DB32D0">
            <w:pPr>
              <w:spacing w:line="240" w:lineRule="auto"/>
              <w:rPr>
                <w:bCs/>
                <w:color w:val="000000" w:themeColor="text1"/>
                <w:sz w:val="20"/>
                <w:szCs w:val="20"/>
                <w:lang w:val="en-US" w:eastAsia="de-DE"/>
              </w:rPr>
            </w:pPr>
            <w:r w:rsidRPr="00965BDB">
              <w:rPr>
                <w:bCs/>
                <w:color w:val="000000" w:themeColor="text1"/>
                <w:sz w:val="20"/>
                <w:szCs w:val="20"/>
                <w:lang w:val="en-US" w:eastAsia="de-DE"/>
              </w:rPr>
              <w:t>t-test</w:t>
            </w:r>
          </w:p>
        </w:tc>
        <w:tc>
          <w:tcPr>
            <w:tcW w:w="1168" w:type="dxa"/>
            <w:gridSpan w:val="2"/>
            <w:shd w:val="clear" w:color="auto" w:fill="auto"/>
            <w:noWrap/>
            <w:vAlign w:val="center"/>
            <w:hideMark/>
          </w:tcPr>
          <w:p w14:paraId="5174EA5C" w14:textId="77777777" w:rsidR="00C07F34" w:rsidRPr="00965BDB" w:rsidRDefault="00C07F34" w:rsidP="00324D73">
            <w:pPr>
              <w:spacing w:line="240" w:lineRule="auto"/>
              <w:rPr>
                <w:bCs/>
                <w:color w:val="000000" w:themeColor="text1"/>
                <w:sz w:val="20"/>
                <w:szCs w:val="20"/>
                <w:lang w:val="en-US" w:eastAsia="de-DE"/>
              </w:rPr>
            </w:pPr>
            <w:r w:rsidRPr="00965BDB">
              <w:rPr>
                <w:bCs/>
                <w:color w:val="000000" w:themeColor="text1"/>
                <w:sz w:val="20"/>
                <w:szCs w:val="20"/>
                <w:lang w:val="en-US" w:eastAsia="de-DE"/>
              </w:rPr>
              <w:t>U-Test</w:t>
            </w:r>
          </w:p>
        </w:tc>
      </w:tr>
      <w:tr w:rsidR="00C07F34" w:rsidRPr="00965BDB" w14:paraId="71A8CED6" w14:textId="77777777" w:rsidTr="009A7469">
        <w:trPr>
          <w:trHeight w:val="300"/>
        </w:trPr>
        <w:tc>
          <w:tcPr>
            <w:tcW w:w="1276" w:type="dxa"/>
            <w:shd w:val="clear" w:color="auto" w:fill="auto"/>
            <w:noWrap/>
            <w:vAlign w:val="center"/>
            <w:hideMark/>
          </w:tcPr>
          <w:p w14:paraId="468BEA18" w14:textId="101C4B06"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100</w:t>
            </w:r>
          </w:p>
        </w:tc>
        <w:tc>
          <w:tcPr>
            <w:tcW w:w="1418" w:type="dxa"/>
            <w:shd w:val="clear" w:color="auto" w:fill="auto"/>
            <w:noWrap/>
            <w:vAlign w:val="center"/>
            <w:hideMark/>
          </w:tcPr>
          <w:p w14:paraId="00A073F6"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50.0 (16.5)</w:t>
            </w:r>
          </w:p>
        </w:tc>
        <w:tc>
          <w:tcPr>
            <w:tcW w:w="1417" w:type="dxa"/>
            <w:gridSpan w:val="2"/>
            <w:shd w:val="clear" w:color="auto" w:fill="auto"/>
            <w:noWrap/>
            <w:vAlign w:val="center"/>
            <w:hideMark/>
          </w:tcPr>
          <w:p w14:paraId="268D64A8"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55.0 (16.5)</w:t>
            </w:r>
          </w:p>
        </w:tc>
        <w:tc>
          <w:tcPr>
            <w:tcW w:w="1134" w:type="dxa"/>
            <w:shd w:val="clear" w:color="auto" w:fill="auto"/>
            <w:noWrap/>
            <w:vAlign w:val="center"/>
            <w:hideMark/>
          </w:tcPr>
          <w:p w14:paraId="195B5508"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5FD9C445"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71.9%</w:t>
            </w:r>
          </w:p>
        </w:tc>
        <w:tc>
          <w:tcPr>
            <w:tcW w:w="1173" w:type="dxa"/>
            <w:gridSpan w:val="2"/>
            <w:shd w:val="clear" w:color="auto" w:fill="auto"/>
            <w:noWrap/>
            <w:vAlign w:val="center"/>
            <w:hideMark/>
          </w:tcPr>
          <w:p w14:paraId="404B81A4"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69.8%</w:t>
            </w:r>
          </w:p>
        </w:tc>
        <w:tc>
          <w:tcPr>
            <w:tcW w:w="777" w:type="dxa"/>
            <w:shd w:val="clear" w:color="auto" w:fill="auto"/>
            <w:noWrap/>
            <w:vAlign w:val="center"/>
            <w:hideMark/>
          </w:tcPr>
          <w:p w14:paraId="2BB94865"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5.3%</w:t>
            </w:r>
          </w:p>
        </w:tc>
        <w:tc>
          <w:tcPr>
            <w:tcW w:w="1168" w:type="dxa"/>
            <w:gridSpan w:val="2"/>
            <w:shd w:val="clear" w:color="auto" w:fill="auto"/>
            <w:noWrap/>
            <w:vAlign w:val="center"/>
            <w:hideMark/>
          </w:tcPr>
          <w:p w14:paraId="7E1B2008" w14:textId="77777777" w:rsidR="00C07F34" w:rsidRPr="00965BDB" w:rsidRDefault="00C07F34" w:rsidP="009A7469">
            <w:pPr>
              <w:spacing w:line="240" w:lineRule="auto"/>
              <w:rPr>
                <w:bCs/>
                <w:color w:val="000000" w:themeColor="text1"/>
                <w:sz w:val="20"/>
                <w:szCs w:val="20"/>
                <w:lang w:val="en-US" w:eastAsia="de-DE"/>
              </w:rPr>
            </w:pPr>
            <w:r w:rsidRPr="00965BDB">
              <w:rPr>
                <w:bCs/>
                <w:color w:val="000000" w:themeColor="text1"/>
                <w:sz w:val="20"/>
                <w:szCs w:val="20"/>
                <w:lang w:val="en-US" w:eastAsia="de-DE"/>
              </w:rPr>
              <w:t>5.5%</w:t>
            </w:r>
          </w:p>
        </w:tc>
      </w:tr>
      <w:tr w:rsidR="00C07F34" w:rsidRPr="00965BDB" w14:paraId="0907BAED" w14:textId="77777777" w:rsidTr="009A7469">
        <w:trPr>
          <w:trHeight w:val="300"/>
        </w:trPr>
        <w:tc>
          <w:tcPr>
            <w:tcW w:w="1276" w:type="dxa"/>
            <w:shd w:val="clear" w:color="auto" w:fill="auto"/>
            <w:noWrap/>
            <w:vAlign w:val="center"/>
            <w:hideMark/>
          </w:tcPr>
          <w:p w14:paraId="7413D25D" w14:textId="2876CCF8"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7</w:t>
            </w:r>
          </w:p>
        </w:tc>
        <w:tc>
          <w:tcPr>
            <w:tcW w:w="1418" w:type="dxa"/>
            <w:shd w:val="clear" w:color="auto" w:fill="auto"/>
            <w:noWrap/>
            <w:vAlign w:val="center"/>
            <w:hideMark/>
          </w:tcPr>
          <w:p w14:paraId="377A25E8"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4.0 (1.2)</w:t>
            </w:r>
          </w:p>
        </w:tc>
        <w:tc>
          <w:tcPr>
            <w:tcW w:w="1417" w:type="dxa"/>
            <w:gridSpan w:val="2"/>
            <w:shd w:val="clear" w:color="auto" w:fill="auto"/>
            <w:noWrap/>
            <w:vAlign w:val="center"/>
            <w:hideMark/>
          </w:tcPr>
          <w:p w14:paraId="640D1350"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4.4 (1.2)</w:t>
            </w:r>
          </w:p>
        </w:tc>
        <w:tc>
          <w:tcPr>
            <w:tcW w:w="1134" w:type="dxa"/>
            <w:shd w:val="clear" w:color="auto" w:fill="auto"/>
            <w:noWrap/>
            <w:vAlign w:val="center"/>
            <w:hideMark/>
          </w:tcPr>
          <w:p w14:paraId="64AAE2B0"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0AC77918"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70.5%</w:t>
            </w:r>
          </w:p>
        </w:tc>
        <w:tc>
          <w:tcPr>
            <w:tcW w:w="1173" w:type="dxa"/>
            <w:gridSpan w:val="2"/>
            <w:shd w:val="clear" w:color="auto" w:fill="auto"/>
            <w:noWrap/>
            <w:vAlign w:val="center"/>
            <w:hideMark/>
          </w:tcPr>
          <w:p w14:paraId="217D4A90"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69.6%</w:t>
            </w:r>
          </w:p>
        </w:tc>
        <w:tc>
          <w:tcPr>
            <w:tcW w:w="777" w:type="dxa"/>
            <w:shd w:val="clear" w:color="auto" w:fill="auto"/>
            <w:noWrap/>
            <w:vAlign w:val="center"/>
            <w:hideMark/>
          </w:tcPr>
          <w:p w14:paraId="5EA23CAB"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5.1%</w:t>
            </w:r>
          </w:p>
        </w:tc>
        <w:tc>
          <w:tcPr>
            <w:tcW w:w="1168" w:type="dxa"/>
            <w:gridSpan w:val="2"/>
            <w:shd w:val="clear" w:color="auto" w:fill="auto"/>
            <w:noWrap/>
            <w:vAlign w:val="center"/>
            <w:hideMark/>
          </w:tcPr>
          <w:p w14:paraId="10FE5B78" w14:textId="77777777" w:rsidR="00C07F34" w:rsidRPr="00965BDB" w:rsidRDefault="00C07F34" w:rsidP="009A7469">
            <w:pPr>
              <w:spacing w:line="240" w:lineRule="auto"/>
              <w:rPr>
                <w:bCs/>
                <w:color w:val="000000" w:themeColor="text1"/>
                <w:sz w:val="20"/>
                <w:szCs w:val="20"/>
                <w:lang w:val="en-US" w:eastAsia="de-DE"/>
              </w:rPr>
            </w:pPr>
            <w:r w:rsidRPr="00965BDB">
              <w:rPr>
                <w:bCs/>
                <w:color w:val="000000" w:themeColor="text1"/>
                <w:sz w:val="20"/>
                <w:szCs w:val="20"/>
                <w:lang w:val="en-US" w:eastAsia="de-DE"/>
              </w:rPr>
              <w:t>5.6%</w:t>
            </w:r>
          </w:p>
        </w:tc>
      </w:tr>
      <w:tr w:rsidR="00C07F34" w:rsidRPr="00965BDB" w14:paraId="466843EE" w14:textId="77777777" w:rsidTr="009A7469">
        <w:trPr>
          <w:trHeight w:val="300"/>
        </w:trPr>
        <w:tc>
          <w:tcPr>
            <w:tcW w:w="1276" w:type="dxa"/>
            <w:shd w:val="clear" w:color="auto" w:fill="auto"/>
            <w:noWrap/>
            <w:vAlign w:val="center"/>
            <w:hideMark/>
          </w:tcPr>
          <w:p w14:paraId="089ACFA5" w14:textId="70A20AE0"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scale 1</w:t>
            </w:r>
            <w:r w:rsidR="00176481">
              <w:rPr>
                <w:bCs/>
                <w:color w:val="000000" w:themeColor="text1"/>
                <w:sz w:val="20"/>
                <w:szCs w:val="20"/>
                <w:lang w:val="en-US" w:eastAsia="de-DE"/>
              </w:rPr>
              <w:t>–</w:t>
            </w:r>
            <w:r w:rsidRPr="00965BDB">
              <w:rPr>
                <w:bCs/>
                <w:color w:val="000000" w:themeColor="text1"/>
                <w:sz w:val="20"/>
                <w:szCs w:val="20"/>
                <w:lang w:val="en-US" w:eastAsia="de-DE"/>
              </w:rPr>
              <w:t>5</w:t>
            </w:r>
          </w:p>
        </w:tc>
        <w:tc>
          <w:tcPr>
            <w:tcW w:w="1418" w:type="dxa"/>
            <w:shd w:val="clear" w:color="auto" w:fill="auto"/>
            <w:noWrap/>
            <w:vAlign w:val="center"/>
            <w:hideMark/>
          </w:tcPr>
          <w:p w14:paraId="361CB39A"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3.0 (1.0)</w:t>
            </w:r>
          </w:p>
        </w:tc>
        <w:tc>
          <w:tcPr>
            <w:tcW w:w="1417" w:type="dxa"/>
            <w:gridSpan w:val="2"/>
            <w:shd w:val="clear" w:color="auto" w:fill="auto"/>
            <w:noWrap/>
            <w:vAlign w:val="center"/>
            <w:hideMark/>
          </w:tcPr>
          <w:p w14:paraId="0622D970"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3.3 (1.0)</w:t>
            </w:r>
          </w:p>
        </w:tc>
        <w:tc>
          <w:tcPr>
            <w:tcW w:w="1134" w:type="dxa"/>
            <w:shd w:val="clear" w:color="auto" w:fill="auto"/>
            <w:noWrap/>
            <w:vAlign w:val="center"/>
            <w:hideMark/>
          </w:tcPr>
          <w:p w14:paraId="01FC63E6"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0.3</w:t>
            </w:r>
          </w:p>
        </w:tc>
        <w:tc>
          <w:tcPr>
            <w:tcW w:w="851" w:type="dxa"/>
            <w:shd w:val="clear" w:color="auto" w:fill="auto"/>
            <w:noWrap/>
            <w:vAlign w:val="center"/>
            <w:hideMark/>
          </w:tcPr>
          <w:p w14:paraId="4A912999"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72.2%</w:t>
            </w:r>
          </w:p>
        </w:tc>
        <w:tc>
          <w:tcPr>
            <w:tcW w:w="1173" w:type="dxa"/>
            <w:gridSpan w:val="2"/>
            <w:shd w:val="clear" w:color="auto" w:fill="auto"/>
            <w:noWrap/>
            <w:vAlign w:val="center"/>
            <w:hideMark/>
          </w:tcPr>
          <w:p w14:paraId="3DF5B185"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72.4%</w:t>
            </w:r>
          </w:p>
        </w:tc>
        <w:tc>
          <w:tcPr>
            <w:tcW w:w="777" w:type="dxa"/>
            <w:shd w:val="clear" w:color="auto" w:fill="auto"/>
            <w:noWrap/>
            <w:vAlign w:val="center"/>
            <w:hideMark/>
          </w:tcPr>
          <w:p w14:paraId="15A80B1E" w14:textId="77777777" w:rsidR="00C07F34" w:rsidRPr="00965BDB" w:rsidRDefault="00C07F34" w:rsidP="00DB32D0">
            <w:pPr>
              <w:spacing w:line="240" w:lineRule="auto"/>
              <w:jc w:val="both"/>
              <w:rPr>
                <w:bCs/>
                <w:color w:val="000000" w:themeColor="text1"/>
                <w:sz w:val="20"/>
                <w:szCs w:val="20"/>
                <w:lang w:val="en-US" w:eastAsia="de-DE"/>
              </w:rPr>
            </w:pPr>
            <w:r w:rsidRPr="00965BDB">
              <w:rPr>
                <w:bCs/>
                <w:color w:val="000000" w:themeColor="text1"/>
                <w:sz w:val="20"/>
                <w:szCs w:val="20"/>
                <w:lang w:val="en-US" w:eastAsia="de-DE"/>
              </w:rPr>
              <w:t>5.3%</w:t>
            </w:r>
          </w:p>
        </w:tc>
        <w:tc>
          <w:tcPr>
            <w:tcW w:w="1168" w:type="dxa"/>
            <w:gridSpan w:val="2"/>
            <w:shd w:val="clear" w:color="auto" w:fill="auto"/>
            <w:noWrap/>
            <w:vAlign w:val="center"/>
            <w:hideMark/>
          </w:tcPr>
          <w:p w14:paraId="6ABF4288" w14:textId="77777777" w:rsidR="00C07F34" w:rsidRPr="00965BDB" w:rsidRDefault="00C07F34" w:rsidP="009A7469">
            <w:pPr>
              <w:spacing w:line="240" w:lineRule="auto"/>
              <w:rPr>
                <w:bCs/>
                <w:color w:val="000000" w:themeColor="text1"/>
                <w:sz w:val="20"/>
                <w:szCs w:val="20"/>
                <w:lang w:val="en-US" w:eastAsia="de-DE"/>
              </w:rPr>
            </w:pPr>
            <w:r w:rsidRPr="00965BDB">
              <w:rPr>
                <w:bCs/>
                <w:color w:val="000000" w:themeColor="text1"/>
                <w:sz w:val="20"/>
                <w:szCs w:val="20"/>
                <w:lang w:val="en-US" w:eastAsia="de-DE"/>
              </w:rPr>
              <w:t>5.1%</w:t>
            </w:r>
          </w:p>
        </w:tc>
      </w:tr>
    </w:tbl>
    <w:p w14:paraId="2902EA36"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color w:val="000000" w:themeColor="text1"/>
          <w:sz w:val="20"/>
          <w:szCs w:val="20"/>
        </w:rPr>
      </w:pPr>
    </w:p>
    <w:p w14:paraId="6FDFF0E8" w14:textId="28CD9F70"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lastRenderedPageBreak/>
        <w:t>Table 5: Sample size n</w:t>
      </w:r>
      <w:r w:rsidR="00D31C92">
        <w:rPr>
          <w:bCs/>
          <w:color w:val="000000" w:themeColor="text1"/>
          <w:sz w:val="20"/>
          <w:szCs w:val="20"/>
          <w:lang w:val="en-US" w:eastAsia="de-DE"/>
        </w:rPr>
        <w:t> </w:t>
      </w:r>
      <w:r w:rsidRPr="00965BDB">
        <w:rPr>
          <w:i w:val="0"/>
          <w:iCs w:val="0"/>
          <w:color w:val="000000" w:themeColor="text1"/>
          <w:sz w:val="20"/>
          <w:szCs w:val="20"/>
          <w:lang w:val="en-US"/>
        </w:rPr>
        <w:t>=</w:t>
      </w:r>
      <w:r w:rsidR="00D31C92">
        <w:rPr>
          <w:bCs/>
          <w:color w:val="000000" w:themeColor="text1"/>
          <w:sz w:val="20"/>
          <w:szCs w:val="20"/>
          <w:lang w:val="en-US" w:eastAsia="de-DE"/>
        </w:rPr>
        <w:t> </w:t>
      </w:r>
      <w:r w:rsidRPr="00965BDB">
        <w:rPr>
          <w:i w:val="0"/>
          <w:iCs w:val="0"/>
          <w:color w:val="000000" w:themeColor="text1"/>
          <w:sz w:val="20"/>
          <w:szCs w:val="20"/>
          <w:lang w:val="en-US"/>
        </w:rPr>
        <w:t>300 / approximately normally distributed / effect size (ES)</w:t>
      </w:r>
    </w:p>
    <w:tbl>
      <w:tblPr>
        <w:tblW w:w="8828"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417"/>
        <w:gridCol w:w="1134"/>
        <w:gridCol w:w="925"/>
        <w:gridCol w:w="1060"/>
        <w:gridCol w:w="141"/>
        <w:gridCol w:w="709"/>
        <w:gridCol w:w="748"/>
      </w:tblGrid>
      <w:tr w:rsidR="00C07F34" w:rsidRPr="00965BDB" w14:paraId="297C20FD" w14:textId="77777777" w:rsidTr="00B845B7">
        <w:trPr>
          <w:trHeight w:val="300"/>
        </w:trPr>
        <w:tc>
          <w:tcPr>
            <w:tcW w:w="1276" w:type="dxa"/>
            <w:shd w:val="clear" w:color="auto" w:fill="auto"/>
            <w:noWrap/>
            <w:vAlign w:val="center"/>
            <w:hideMark/>
          </w:tcPr>
          <w:p w14:paraId="7D29E592" w14:textId="0F4E8465" w:rsidR="00C07F34" w:rsidRPr="00965BDB" w:rsidRDefault="00C07F34" w:rsidP="00DB32D0">
            <w:pPr>
              <w:spacing w:line="240" w:lineRule="auto"/>
              <w:jc w:val="both"/>
              <w:rPr>
                <w:b/>
                <w:color w:val="000000" w:themeColor="text1"/>
                <w:sz w:val="20"/>
                <w:szCs w:val="20"/>
                <w:lang w:val="en-US" w:eastAsia="de-DE"/>
              </w:rPr>
            </w:pPr>
            <w:r w:rsidRPr="00965BDB">
              <w:rPr>
                <w:b/>
                <w:color w:val="000000" w:themeColor="text1"/>
                <w:sz w:val="20"/>
                <w:szCs w:val="20"/>
                <w:lang w:val="en-US" w:eastAsia="de-DE"/>
              </w:rPr>
              <w:t>n</w:t>
            </w:r>
            <w:r w:rsidR="00324D73">
              <w:rPr>
                <w:bCs/>
                <w:color w:val="000000" w:themeColor="text1"/>
                <w:sz w:val="20"/>
                <w:szCs w:val="20"/>
                <w:lang w:val="en-US" w:eastAsia="de-DE"/>
              </w:rPr>
              <w:t> </w:t>
            </w:r>
            <w:r w:rsidRPr="00965BDB">
              <w:rPr>
                <w:b/>
                <w:color w:val="000000" w:themeColor="text1"/>
                <w:sz w:val="20"/>
                <w:szCs w:val="20"/>
                <w:lang w:val="en-US" w:eastAsia="de-DE"/>
              </w:rPr>
              <w:t>=</w:t>
            </w:r>
            <w:r w:rsidR="00324D73">
              <w:rPr>
                <w:bCs/>
                <w:color w:val="000000" w:themeColor="text1"/>
                <w:sz w:val="20"/>
                <w:szCs w:val="20"/>
                <w:lang w:val="en-US" w:eastAsia="de-DE"/>
              </w:rPr>
              <w:t> </w:t>
            </w:r>
            <w:r w:rsidRPr="00965BDB">
              <w:rPr>
                <w:b/>
                <w:color w:val="000000" w:themeColor="text1"/>
                <w:sz w:val="20"/>
                <w:szCs w:val="20"/>
                <w:lang w:val="en-US" w:eastAsia="de-DE"/>
              </w:rPr>
              <w:t>300</w:t>
            </w:r>
          </w:p>
        </w:tc>
        <w:tc>
          <w:tcPr>
            <w:tcW w:w="1418" w:type="dxa"/>
            <w:shd w:val="clear" w:color="auto" w:fill="auto"/>
            <w:noWrap/>
            <w:vAlign w:val="center"/>
            <w:hideMark/>
          </w:tcPr>
          <w:p w14:paraId="4B59047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1</w:t>
            </w:r>
          </w:p>
        </w:tc>
        <w:tc>
          <w:tcPr>
            <w:tcW w:w="1417" w:type="dxa"/>
            <w:shd w:val="clear" w:color="auto" w:fill="auto"/>
            <w:noWrap/>
            <w:vAlign w:val="center"/>
            <w:hideMark/>
          </w:tcPr>
          <w:p w14:paraId="310CBE1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2</w:t>
            </w:r>
          </w:p>
        </w:tc>
        <w:tc>
          <w:tcPr>
            <w:tcW w:w="1134" w:type="dxa"/>
            <w:shd w:val="clear" w:color="auto" w:fill="auto"/>
            <w:noWrap/>
            <w:vAlign w:val="center"/>
            <w:hideMark/>
          </w:tcPr>
          <w:p w14:paraId="50E4698B" w14:textId="77777777" w:rsidR="00C07F34" w:rsidRPr="00965BDB" w:rsidRDefault="00C07F34" w:rsidP="00DB32D0">
            <w:pPr>
              <w:spacing w:line="240" w:lineRule="auto"/>
              <w:jc w:val="both"/>
              <w:rPr>
                <w:color w:val="000000" w:themeColor="text1"/>
                <w:sz w:val="20"/>
                <w:szCs w:val="20"/>
                <w:lang w:val="en-US" w:eastAsia="de-DE"/>
              </w:rPr>
            </w:pPr>
          </w:p>
        </w:tc>
        <w:tc>
          <w:tcPr>
            <w:tcW w:w="1985" w:type="dxa"/>
            <w:gridSpan w:val="2"/>
            <w:shd w:val="clear" w:color="auto" w:fill="auto"/>
            <w:noWrap/>
            <w:vAlign w:val="center"/>
            <w:hideMark/>
          </w:tcPr>
          <w:p w14:paraId="65B1CB64" w14:textId="138829D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Samples out of population</w:t>
            </w:r>
            <w:r w:rsidR="00324D73">
              <w:rPr>
                <w:color w:val="000000" w:themeColor="text1"/>
                <w:sz w:val="20"/>
                <w:szCs w:val="20"/>
                <w:lang w:val="en-US" w:eastAsia="de-DE"/>
              </w:rPr>
              <w:t>s</w:t>
            </w:r>
            <w:r w:rsidRPr="00965BDB">
              <w:rPr>
                <w:color w:val="000000" w:themeColor="text1"/>
                <w:sz w:val="20"/>
                <w:szCs w:val="20"/>
                <w:lang w:val="en-US" w:eastAsia="de-DE"/>
              </w:rPr>
              <w:t xml:space="preserve"> 1</w:t>
            </w:r>
            <w:r w:rsidR="00324D73">
              <w:rPr>
                <w:color w:val="000000" w:themeColor="text1"/>
                <w:sz w:val="20"/>
                <w:szCs w:val="20"/>
                <w:lang w:val="en-US" w:eastAsia="de-DE"/>
              </w:rPr>
              <w:t xml:space="preserve"> and </w:t>
            </w:r>
            <w:r w:rsidRPr="00965BDB">
              <w:rPr>
                <w:color w:val="000000" w:themeColor="text1"/>
                <w:sz w:val="20"/>
                <w:szCs w:val="20"/>
                <w:lang w:val="en-US" w:eastAsia="de-DE"/>
              </w:rPr>
              <w:t>2</w:t>
            </w:r>
          </w:p>
        </w:tc>
        <w:tc>
          <w:tcPr>
            <w:tcW w:w="1598" w:type="dxa"/>
            <w:gridSpan w:val="3"/>
            <w:shd w:val="clear" w:color="auto" w:fill="auto"/>
            <w:noWrap/>
            <w:vAlign w:val="center"/>
            <w:hideMark/>
          </w:tcPr>
          <w:p w14:paraId="70D4A99F"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Both samples out of population 1</w:t>
            </w:r>
          </w:p>
        </w:tc>
      </w:tr>
      <w:tr w:rsidR="00C07F34" w:rsidRPr="00965BDB" w14:paraId="13A5EC0C" w14:textId="77777777" w:rsidTr="00B845B7">
        <w:trPr>
          <w:trHeight w:val="300"/>
        </w:trPr>
        <w:tc>
          <w:tcPr>
            <w:tcW w:w="1276" w:type="dxa"/>
            <w:shd w:val="clear" w:color="auto" w:fill="auto"/>
            <w:noWrap/>
            <w:vAlign w:val="center"/>
            <w:hideMark/>
          </w:tcPr>
          <w:p w14:paraId="1A0A56DD" w14:textId="77777777" w:rsidR="00C07F34" w:rsidRPr="00965BDB" w:rsidRDefault="00C07F34" w:rsidP="00DB32D0">
            <w:pPr>
              <w:spacing w:line="240" w:lineRule="auto"/>
              <w:jc w:val="both"/>
              <w:rPr>
                <w:color w:val="000000"/>
                <w:sz w:val="20"/>
                <w:szCs w:val="20"/>
                <w:lang w:val="en-US" w:eastAsia="de-DE"/>
              </w:rPr>
            </w:pPr>
          </w:p>
        </w:tc>
        <w:tc>
          <w:tcPr>
            <w:tcW w:w="1418" w:type="dxa"/>
            <w:shd w:val="clear" w:color="auto" w:fill="auto"/>
            <w:noWrap/>
            <w:vAlign w:val="center"/>
            <w:hideMark/>
          </w:tcPr>
          <w:p w14:paraId="19B324AB"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mean 1 (SD 1)</w:t>
            </w:r>
          </w:p>
        </w:tc>
        <w:tc>
          <w:tcPr>
            <w:tcW w:w="1417" w:type="dxa"/>
            <w:shd w:val="clear" w:color="auto" w:fill="auto"/>
            <w:noWrap/>
            <w:vAlign w:val="center"/>
            <w:hideMark/>
          </w:tcPr>
          <w:p w14:paraId="0892796F"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mean 2 (SD 2)</w:t>
            </w:r>
          </w:p>
        </w:tc>
        <w:tc>
          <w:tcPr>
            <w:tcW w:w="1134" w:type="dxa"/>
            <w:shd w:val="clear" w:color="auto" w:fill="auto"/>
            <w:noWrap/>
            <w:vAlign w:val="center"/>
            <w:hideMark/>
          </w:tcPr>
          <w:p w14:paraId="76494B79"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ES</w:t>
            </w:r>
          </w:p>
        </w:tc>
        <w:tc>
          <w:tcPr>
            <w:tcW w:w="925" w:type="dxa"/>
            <w:shd w:val="clear" w:color="auto" w:fill="auto"/>
            <w:noWrap/>
            <w:vAlign w:val="center"/>
            <w:hideMark/>
          </w:tcPr>
          <w:p w14:paraId="74E14AFA"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t-test</w:t>
            </w:r>
          </w:p>
        </w:tc>
        <w:tc>
          <w:tcPr>
            <w:tcW w:w="1201" w:type="dxa"/>
            <w:gridSpan w:val="2"/>
            <w:shd w:val="clear" w:color="auto" w:fill="auto"/>
            <w:noWrap/>
            <w:vAlign w:val="center"/>
            <w:hideMark/>
          </w:tcPr>
          <w:p w14:paraId="020659ED"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U-Test</w:t>
            </w:r>
          </w:p>
        </w:tc>
        <w:tc>
          <w:tcPr>
            <w:tcW w:w="709" w:type="dxa"/>
            <w:shd w:val="clear" w:color="auto" w:fill="auto"/>
            <w:noWrap/>
            <w:vAlign w:val="center"/>
            <w:hideMark/>
          </w:tcPr>
          <w:p w14:paraId="48B48B60"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t-test</w:t>
            </w:r>
          </w:p>
        </w:tc>
        <w:tc>
          <w:tcPr>
            <w:tcW w:w="748" w:type="dxa"/>
            <w:shd w:val="clear" w:color="auto" w:fill="auto"/>
            <w:noWrap/>
            <w:vAlign w:val="center"/>
            <w:hideMark/>
          </w:tcPr>
          <w:p w14:paraId="5153B725" w14:textId="77777777" w:rsidR="00C07F34" w:rsidRPr="00965BDB" w:rsidRDefault="00C07F34" w:rsidP="009A7469">
            <w:pPr>
              <w:spacing w:line="240" w:lineRule="auto"/>
              <w:rPr>
                <w:color w:val="000000"/>
                <w:sz w:val="20"/>
                <w:szCs w:val="20"/>
                <w:lang w:val="en-US" w:eastAsia="de-DE"/>
              </w:rPr>
            </w:pPr>
            <w:r w:rsidRPr="00965BDB">
              <w:rPr>
                <w:color w:val="000000"/>
                <w:sz w:val="20"/>
                <w:szCs w:val="20"/>
                <w:lang w:val="en-US" w:eastAsia="de-DE"/>
              </w:rPr>
              <w:t>U-Test</w:t>
            </w:r>
          </w:p>
        </w:tc>
      </w:tr>
      <w:tr w:rsidR="00C07F34" w:rsidRPr="00965BDB" w14:paraId="7EB8D240" w14:textId="77777777" w:rsidTr="00B845B7">
        <w:trPr>
          <w:trHeight w:val="300"/>
        </w:trPr>
        <w:tc>
          <w:tcPr>
            <w:tcW w:w="1276" w:type="dxa"/>
            <w:shd w:val="clear" w:color="auto" w:fill="auto"/>
            <w:noWrap/>
            <w:vAlign w:val="center"/>
            <w:hideMark/>
          </w:tcPr>
          <w:p w14:paraId="5F5D4786" w14:textId="69B9D753"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100</w:t>
            </w:r>
          </w:p>
        </w:tc>
        <w:tc>
          <w:tcPr>
            <w:tcW w:w="1418" w:type="dxa"/>
            <w:shd w:val="clear" w:color="auto" w:fill="auto"/>
            <w:noWrap/>
            <w:vAlign w:val="center"/>
            <w:hideMark/>
          </w:tcPr>
          <w:p w14:paraId="188DBE3E" w14:textId="77777777" w:rsidR="00C07F34" w:rsidRPr="00965BDB" w:rsidRDefault="00C07F34" w:rsidP="00DB32D0">
            <w:pPr>
              <w:spacing w:line="240" w:lineRule="auto"/>
              <w:jc w:val="both"/>
              <w:rPr>
                <w:color w:val="000000"/>
                <w:sz w:val="20"/>
                <w:szCs w:val="20"/>
                <w:lang w:val="en-US" w:eastAsia="de-DE"/>
              </w:rPr>
            </w:pPr>
            <w:r w:rsidRPr="00965BDB">
              <w:rPr>
                <w:bCs/>
                <w:color w:val="000000"/>
                <w:sz w:val="20"/>
                <w:szCs w:val="20"/>
                <w:lang w:val="en-US" w:eastAsia="de-DE"/>
              </w:rPr>
              <w:t>50.0 (16.5)</w:t>
            </w:r>
          </w:p>
        </w:tc>
        <w:tc>
          <w:tcPr>
            <w:tcW w:w="1417" w:type="dxa"/>
            <w:shd w:val="clear" w:color="auto" w:fill="auto"/>
            <w:noWrap/>
            <w:vAlign w:val="center"/>
            <w:hideMark/>
          </w:tcPr>
          <w:p w14:paraId="10C80CD8" w14:textId="77777777" w:rsidR="00C07F34" w:rsidRPr="00965BDB" w:rsidRDefault="00C07F34" w:rsidP="00DB32D0">
            <w:pPr>
              <w:spacing w:line="240" w:lineRule="auto"/>
              <w:jc w:val="both"/>
              <w:rPr>
                <w:sz w:val="20"/>
                <w:szCs w:val="20"/>
                <w:lang w:val="en-US" w:eastAsia="de-DE"/>
              </w:rPr>
            </w:pPr>
            <w:r w:rsidRPr="00965BDB">
              <w:rPr>
                <w:bCs/>
                <w:sz w:val="20"/>
                <w:szCs w:val="20"/>
                <w:lang w:val="en-US" w:eastAsia="de-DE"/>
              </w:rPr>
              <w:t>55.0 (16.5)</w:t>
            </w:r>
          </w:p>
        </w:tc>
        <w:tc>
          <w:tcPr>
            <w:tcW w:w="1134" w:type="dxa"/>
            <w:shd w:val="clear" w:color="auto" w:fill="auto"/>
            <w:noWrap/>
            <w:vAlign w:val="center"/>
            <w:hideMark/>
          </w:tcPr>
          <w:p w14:paraId="65A17669"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925" w:type="dxa"/>
            <w:shd w:val="clear" w:color="auto" w:fill="auto"/>
            <w:noWrap/>
            <w:vAlign w:val="center"/>
            <w:hideMark/>
          </w:tcPr>
          <w:p w14:paraId="7E487FF8"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96.4%</w:t>
            </w:r>
          </w:p>
        </w:tc>
        <w:tc>
          <w:tcPr>
            <w:tcW w:w="1201" w:type="dxa"/>
            <w:gridSpan w:val="2"/>
            <w:shd w:val="clear" w:color="auto" w:fill="auto"/>
            <w:noWrap/>
            <w:vAlign w:val="center"/>
            <w:hideMark/>
          </w:tcPr>
          <w:p w14:paraId="3E624787"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95.3%</w:t>
            </w:r>
          </w:p>
        </w:tc>
        <w:tc>
          <w:tcPr>
            <w:tcW w:w="709" w:type="dxa"/>
            <w:shd w:val="clear" w:color="auto" w:fill="auto"/>
            <w:noWrap/>
            <w:vAlign w:val="center"/>
            <w:hideMark/>
          </w:tcPr>
          <w:p w14:paraId="5B5ED863"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6.1%</w:t>
            </w:r>
          </w:p>
        </w:tc>
        <w:tc>
          <w:tcPr>
            <w:tcW w:w="748" w:type="dxa"/>
            <w:shd w:val="clear" w:color="auto" w:fill="auto"/>
            <w:noWrap/>
            <w:vAlign w:val="center"/>
            <w:hideMark/>
          </w:tcPr>
          <w:p w14:paraId="60A03FB4" w14:textId="77777777" w:rsidR="00C07F34" w:rsidRPr="00965BDB" w:rsidRDefault="00C07F34" w:rsidP="009A7469">
            <w:pPr>
              <w:spacing w:line="240" w:lineRule="auto"/>
              <w:rPr>
                <w:sz w:val="20"/>
                <w:szCs w:val="20"/>
                <w:lang w:val="en-US" w:eastAsia="de-DE"/>
              </w:rPr>
            </w:pPr>
            <w:r w:rsidRPr="00965BDB">
              <w:rPr>
                <w:sz w:val="20"/>
                <w:szCs w:val="20"/>
                <w:lang w:val="en-US" w:eastAsia="de-DE"/>
              </w:rPr>
              <w:t>6.7%</w:t>
            </w:r>
          </w:p>
        </w:tc>
      </w:tr>
      <w:tr w:rsidR="00C07F34" w:rsidRPr="00965BDB" w14:paraId="10A8737C" w14:textId="77777777" w:rsidTr="00B845B7">
        <w:trPr>
          <w:trHeight w:val="300"/>
        </w:trPr>
        <w:tc>
          <w:tcPr>
            <w:tcW w:w="1276" w:type="dxa"/>
            <w:shd w:val="clear" w:color="auto" w:fill="auto"/>
            <w:noWrap/>
            <w:vAlign w:val="center"/>
            <w:hideMark/>
          </w:tcPr>
          <w:p w14:paraId="1366D6BE" w14:textId="19866A2A"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7</w:t>
            </w:r>
          </w:p>
        </w:tc>
        <w:tc>
          <w:tcPr>
            <w:tcW w:w="1418" w:type="dxa"/>
            <w:shd w:val="clear" w:color="auto" w:fill="auto"/>
            <w:noWrap/>
            <w:vAlign w:val="center"/>
            <w:hideMark/>
          </w:tcPr>
          <w:p w14:paraId="6B48E34E" w14:textId="77777777" w:rsidR="00C07F34" w:rsidRPr="00965BDB" w:rsidRDefault="00C07F34" w:rsidP="00DB32D0">
            <w:pPr>
              <w:spacing w:line="240" w:lineRule="auto"/>
              <w:jc w:val="both"/>
              <w:rPr>
                <w:color w:val="000000"/>
                <w:sz w:val="20"/>
                <w:szCs w:val="20"/>
                <w:lang w:val="en-US" w:eastAsia="de-DE"/>
              </w:rPr>
            </w:pPr>
            <w:r w:rsidRPr="00965BDB">
              <w:rPr>
                <w:bCs/>
                <w:color w:val="000000"/>
                <w:sz w:val="20"/>
                <w:szCs w:val="20"/>
                <w:lang w:val="en-US" w:eastAsia="de-DE"/>
              </w:rPr>
              <w:t>4.0 (1.2)</w:t>
            </w:r>
          </w:p>
        </w:tc>
        <w:tc>
          <w:tcPr>
            <w:tcW w:w="1417" w:type="dxa"/>
            <w:shd w:val="clear" w:color="auto" w:fill="auto"/>
            <w:noWrap/>
            <w:vAlign w:val="center"/>
            <w:hideMark/>
          </w:tcPr>
          <w:p w14:paraId="66450E96" w14:textId="77777777" w:rsidR="00C07F34" w:rsidRPr="00965BDB" w:rsidRDefault="00C07F34" w:rsidP="00DB32D0">
            <w:pPr>
              <w:spacing w:line="240" w:lineRule="auto"/>
              <w:jc w:val="both"/>
              <w:rPr>
                <w:sz w:val="20"/>
                <w:szCs w:val="20"/>
                <w:lang w:val="en-US" w:eastAsia="de-DE"/>
              </w:rPr>
            </w:pPr>
            <w:r w:rsidRPr="00965BDB">
              <w:rPr>
                <w:bCs/>
                <w:sz w:val="20"/>
                <w:szCs w:val="20"/>
                <w:lang w:val="en-US" w:eastAsia="de-DE"/>
              </w:rPr>
              <w:t>4.4 (1.2)</w:t>
            </w:r>
          </w:p>
        </w:tc>
        <w:tc>
          <w:tcPr>
            <w:tcW w:w="1134" w:type="dxa"/>
            <w:shd w:val="clear" w:color="auto" w:fill="auto"/>
            <w:noWrap/>
            <w:vAlign w:val="center"/>
            <w:hideMark/>
          </w:tcPr>
          <w:p w14:paraId="024D7606"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925" w:type="dxa"/>
            <w:shd w:val="clear" w:color="auto" w:fill="auto"/>
            <w:noWrap/>
            <w:vAlign w:val="center"/>
            <w:hideMark/>
          </w:tcPr>
          <w:p w14:paraId="70B57C60"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96.0%</w:t>
            </w:r>
          </w:p>
        </w:tc>
        <w:tc>
          <w:tcPr>
            <w:tcW w:w="1201" w:type="dxa"/>
            <w:gridSpan w:val="2"/>
            <w:shd w:val="clear" w:color="auto" w:fill="auto"/>
            <w:noWrap/>
            <w:vAlign w:val="center"/>
            <w:hideMark/>
          </w:tcPr>
          <w:p w14:paraId="7D71518E"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95.1%</w:t>
            </w:r>
          </w:p>
        </w:tc>
        <w:tc>
          <w:tcPr>
            <w:tcW w:w="709" w:type="dxa"/>
            <w:shd w:val="clear" w:color="auto" w:fill="auto"/>
            <w:noWrap/>
            <w:vAlign w:val="center"/>
            <w:hideMark/>
          </w:tcPr>
          <w:p w14:paraId="7F52ADE4"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6.5%</w:t>
            </w:r>
          </w:p>
        </w:tc>
        <w:tc>
          <w:tcPr>
            <w:tcW w:w="748" w:type="dxa"/>
            <w:shd w:val="clear" w:color="auto" w:fill="auto"/>
            <w:noWrap/>
            <w:vAlign w:val="center"/>
            <w:hideMark/>
          </w:tcPr>
          <w:p w14:paraId="21E60708" w14:textId="77777777" w:rsidR="00C07F34" w:rsidRPr="00965BDB" w:rsidRDefault="00C07F34" w:rsidP="009A7469">
            <w:pPr>
              <w:spacing w:line="240" w:lineRule="auto"/>
              <w:rPr>
                <w:sz w:val="20"/>
                <w:szCs w:val="20"/>
                <w:lang w:val="en-US" w:eastAsia="de-DE"/>
              </w:rPr>
            </w:pPr>
            <w:r w:rsidRPr="00965BDB">
              <w:rPr>
                <w:sz w:val="20"/>
                <w:szCs w:val="20"/>
                <w:lang w:val="en-US" w:eastAsia="de-DE"/>
              </w:rPr>
              <w:t>6.2%</w:t>
            </w:r>
          </w:p>
        </w:tc>
      </w:tr>
      <w:tr w:rsidR="00C07F34" w:rsidRPr="00965BDB" w14:paraId="7A703ED6" w14:textId="77777777" w:rsidTr="00B845B7">
        <w:trPr>
          <w:trHeight w:val="300"/>
        </w:trPr>
        <w:tc>
          <w:tcPr>
            <w:tcW w:w="1276" w:type="dxa"/>
            <w:shd w:val="clear" w:color="auto" w:fill="auto"/>
            <w:noWrap/>
            <w:vAlign w:val="center"/>
            <w:hideMark/>
          </w:tcPr>
          <w:p w14:paraId="29630AA7" w14:textId="54A38D05"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5</w:t>
            </w:r>
          </w:p>
        </w:tc>
        <w:tc>
          <w:tcPr>
            <w:tcW w:w="1418" w:type="dxa"/>
            <w:shd w:val="clear" w:color="auto" w:fill="auto"/>
            <w:noWrap/>
            <w:vAlign w:val="center"/>
            <w:hideMark/>
          </w:tcPr>
          <w:p w14:paraId="579C81C2" w14:textId="77777777" w:rsidR="00C07F34" w:rsidRPr="00965BDB" w:rsidRDefault="00C07F34" w:rsidP="00DB32D0">
            <w:pPr>
              <w:spacing w:line="240" w:lineRule="auto"/>
              <w:jc w:val="both"/>
              <w:rPr>
                <w:color w:val="000000"/>
                <w:sz w:val="20"/>
                <w:szCs w:val="20"/>
                <w:lang w:val="en-US" w:eastAsia="de-DE"/>
              </w:rPr>
            </w:pPr>
            <w:r w:rsidRPr="00965BDB">
              <w:rPr>
                <w:bCs/>
                <w:color w:val="000000"/>
                <w:sz w:val="20"/>
                <w:szCs w:val="20"/>
                <w:lang w:val="en-US" w:eastAsia="de-DE"/>
              </w:rPr>
              <w:t>3.0 (1.0)</w:t>
            </w:r>
          </w:p>
        </w:tc>
        <w:tc>
          <w:tcPr>
            <w:tcW w:w="1417" w:type="dxa"/>
            <w:shd w:val="clear" w:color="auto" w:fill="auto"/>
            <w:noWrap/>
            <w:vAlign w:val="center"/>
            <w:hideMark/>
          </w:tcPr>
          <w:p w14:paraId="2A2AC831" w14:textId="77777777" w:rsidR="00C07F34" w:rsidRPr="00965BDB" w:rsidRDefault="00C07F34" w:rsidP="00DB32D0">
            <w:pPr>
              <w:spacing w:line="240" w:lineRule="auto"/>
              <w:jc w:val="both"/>
              <w:rPr>
                <w:sz w:val="20"/>
                <w:szCs w:val="20"/>
                <w:lang w:val="en-US" w:eastAsia="de-DE"/>
              </w:rPr>
            </w:pPr>
            <w:r w:rsidRPr="00965BDB">
              <w:rPr>
                <w:bCs/>
                <w:sz w:val="20"/>
                <w:szCs w:val="20"/>
                <w:lang w:val="en-US" w:eastAsia="de-DE"/>
              </w:rPr>
              <w:t>3.3 (1.0)</w:t>
            </w:r>
          </w:p>
        </w:tc>
        <w:tc>
          <w:tcPr>
            <w:tcW w:w="1134" w:type="dxa"/>
            <w:shd w:val="clear" w:color="auto" w:fill="auto"/>
            <w:noWrap/>
            <w:vAlign w:val="center"/>
            <w:hideMark/>
          </w:tcPr>
          <w:p w14:paraId="464EDC0A"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925" w:type="dxa"/>
            <w:shd w:val="clear" w:color="auto" w:fill="auto"/>
            <w:noWrap/>
            <w:vAlign w:val="center"/>
            <w:hideMark/>
          </w:tcPr>
          <w:p w14:paraId="5A5C361C"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96.3%</w:t>
            </w:r>
          </w:p>
        </w:tc>
        <w:tc>
          <w:tcPr>
            <w:tcW w:w="1201" w:type="dxa"/>
            <w:gridSpan w:val="2"/>
            <w:shd w:val="clear" w:color="auto" w:fill="auto"/>
            <w:noWrap/>
            <w:vAlign w:val="center"/>
            <w:hideMark/>
          </w:tcPr>
          <w:p w14:paraId="1E94BF25"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95.8%</w:t>
            </w:r>
          </w:p>
        </w:tc>
        <w:tc>
          <w:tcPr>
            <w:tcW w:w="709" w:type="dxa"/>
            <w:shd w:val="clear" w:color="auto" w:fill="auto"/>
            <w:noWrap/>
            <w:vAlign w:val="center"/>
            <w:hideMark/>
          </w:tcPr>
          <w:p w14:paraId="4B75A24B"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5.9%</w:t>
            </w:r>
          </w:p>
        </w:tc>
        <w:tc>
          <w:tcPr>
            <w:tcW w:w="748" w:type="dxa"/>
            <w:shd w:val="clear" w:color="auto" w:fill="auto"/>
            <w:noWrap/>
            <w:vAlign w:val="center"/>
            <w:hideMark/>
          </w:tcPr>
          <w:p w14:paraId="7ADFE565" w14:textId="77777777" w:rsidR="00C07F34" w:rsidRPr="00965BDB" w:rsidRDefault="00C07F34" w:rsidP="009A7469">
            <w:pPr>
              <w:spacing w:line="240" w:lineRule="auto"/>
              <w:rPr>
                <w:sz w:val="20"/>
                <w:szCs w:val="20"/>
                <w:lang w:val="en-US" w:eastAsia="de-DE"/>
              </w:rPr>
            </w:pPr>
            <w:r w:rsidRPr="00965BDB">
              <w:rPr>
                <w:sz w:val="20"/>
                <w:szCs w:val="20"/>
                <w:lang w:val="en-US" w:eastAsia="de-DE"/>
              </w:rPr>
              <w:t>5.8%</w:t>
            </w:r>
          </w:p>
        </w:tc>
      </w:tr>
    </w:tbl>
    <w:p w14:paraId="3F278E5B" w14:textId="77777777" w:rsidR="00C07F34" w:rsidRPr="00965BDB" w:rsidRDefault="00C07F34" w:rsidP="00DB32D0">
      <w:pPr>
        <w:jc w:val="both"/>
        <w:rPr>
          <w:lang w:val="en-US"/>
        </w:rPr>
      </w:pPr>
    </w:p>
    <w:p w14:paraId="2B1BABA5" w14:textId="77777777" w:rsidR="00C07F34" w:rsidRPr="00965BDB" w:rsidRDefault="00C07F34" w:rsidP="00DB32D0">
      <w:pPr>
        <w:pStyle w:val="Beschriftung"/>
        <w:keepNext/>
        <w:jc w:val="both"/>
        <w:rPr>
          <w:sz w:val="24"/>
          <w:szCs w:val="24"/>
          <w:lang w:val="en-US"/>
        </w:rPr>
      </w:pPr>
    </w:p>
    <w:p w14:paraId="5F94A3CB" w14:textId="119F3CE1"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6: Sample size n</w:t>
      </w:r>
      <w:r w:rsidR="00324D73">
        <w:rPr>
          <w:bCs/>
          <w:color w:val="000000" w:themeColor="text1"/>
          <w:sz w:val="20"/>
          <w:szCs w:val="20"/>
          <w:lang w:val="en-US" w:eastAsia="de-DE"/>
        </w:rPr>
        <w:t> </w:t>
      </w:r>
      <w:r w:rsidRPr="00965BDB">
        <w:rPr>
          <w:i w:val="0"/>
          <w:iCs w:val="0"/>
          <w:color w:val="000000" w:themeColor="text1"/>
          <w:sz w:val="20"/>
          <w:szCs w:val="20"/>
          <w:lang w:val="en-US"/>
        </w:rPr>
        <w:t>=</w:t>
      </w:r>
      <w:r w:rsidR="00324D73">
        <w:rPr>
          <w:bCs/>
          <w:color w:val="000000" w:themeColor="text1"/>
          <w:sz w:val="20"/>
          <w:szCs w:val="20"/>
          <w:lang w:val="en-US" w:eastAsia="de-DE"/>
        </w:rPr>
        <w:t> </w:t>
      </w:r>
      <w:r w:rsidRPr="00965BDB">
        <w:rPr>
          <w:i w:val="0"/>
          <w:iCs w:val="0"/>
          <w:color w:val="000000" w:themeColor="text1"/>
          <w:sz w:val="20"/>
          <w:szCs w:val="20"/>
          <w:lang w:val="en-US"/>
        </w:rPr>
        <w:t>10 / skewed / effect size (ES)</w:t>
      </w:r>
    </w:p>
    <w:tbl>
      <w:tblPr>
        <w:tblW w:w="8789"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280"/>
        <w:gridCol w:w="137"/>
        <w:gridCol w:w="923"/>
        <w:gridCol w:w="137"/>
        <w:gridCol w:w="747"/>
        <w:gridCol w:w="1036"/>
        <w:gridCol w:w="137"/>
        <w:gridCol w:w="777"/>
        <w:gridCol w:w="921"/>
      </w:tblGrid>
      <w:tr w:rsidR="00C07F34" w:rsidRPr="00965BDB" w14:paraId="5C0F7731" w14:textId="77777777" w:rsidTr="00B845B7">
        <w:trPr>
          <w:trHeight w:val="300"/>
        </w:trPr>
        <w:tc>
          <w:tcPr>
            <w:tcW w:w="1276" w:type="dxa"/>
            <w:shd w:val="clear" w:color="auto" w:fill="auto"/>
            <w:noWrap/>
            <w:vAlign w:val="center"/>
            <w:hideMark/>
          </w:tcPr>
          <w:p w14:paraId="645C8E31" w14:textId="6F69E6EB" w:rsidR="00C07F34" w:rsidRPr="00965BDB" w:rsidRDefault="00C07F34" w:rsidP="00DB32D0">
            <w:pPr>
              <w:spacing w:line="240" w:lineRule="auto"/>
              <w:jc w:val="both"/>
              <w:rPr>
                <w:b/>
                <w:color w:val="000000" w:themeColor="text1"/>
                <w:sz w:val="20"/>
                <w:szCs w:val="20"/>
                <w:lang w:val="en-US" w:eastAsia="de-DE"/>
              </w:rPr>
            </w:pPr>
            <w:r w:rsidRPr="00965BDB">
              <w:rPr>
                <w:b/>
                <w:color w:val="000000" w:themeColor="text1"/>
                <w:sz w:val="20"/>
                <w:szCs w:val="20"/>
                <w:lang w:val="en-US" w:eastAsia="de-DE"/>
              </w:rPr>
              <w:t>n</w:t>
            </w:r>
            <w:r w:rsidR="00324D73">
              <w:rPr>
                <w:bCs/>
                <w:color w:val="000000" w:themeColor="text1"/>
                <w:sz w:val="20"/>
                <w:szCs w:val="20"/>
                <w:lang w:val="en-US" w:eastAsia="de-DE"/>
              </w:rPr>
              <w:t> </w:t>
            </w:r>
            <w:r w:rsidRPr="00965BDB">
              <w:rPr>
                <w:b/>
                <w:color w:val="000000" w:themeColor="text1"/>
                <w:sz w:val="20"/>
                <w:szCs w:val="20"/>
                <w:lang w:val="en-US" w:eastAsia="de-DE"/>
              </w:rPr>
              <w:t>=</w:t>
            </w:r>
            <w:r w:rsidR="00324D73">
              <w:rPr>
                <w:bCs/>
                <w:color w:val="000000" w:themeColor="text1"/>
                <w:sz w:val="20"/>
                <w:szCs w:val="20"/>
                <w:lang w:val="en-US" w:eastAsia="de-DE"/>
              </w:rPr>
              <w:t> </w:t>
            </w:r>
            <w:r w:rsidRPr="00965BDB">
              <w:rPr>
                <w:b/>
                <w:color w:val="000000" w:themeColor="text1"/>
                <w:sz w:val="20"/>
                <w:szCs w:val="20"/>
                <w:lang w:val="en-US" w:eastAsia="de-DE"/>
              </w:rPr>
              <w:t>10</w:t>
            </w:r>
          </w:p>
        </w:tc>
        <w:tc>
          <w:tcPr>
            <w:tcW w:w="1418" w:type="dxa"/>
            <w:shd w:val="clear" w:color="auto" w:fill="auto"/>
            <w:noWrap/>
            <w:vAlign w:val="center"/>
            <w:hideMark/>
          </w:tcPr>
          <w:p w14:paraId="4DC7D9C6"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1</w:t>
            </w:r>
          </w:p>
        </w:tc>
        <w:tc>
          <w:tcPr>
            <w:tcW w:w="1280" w:type="dxa"/>
            <w:shd w:val="clear" w:color="auto" w:fill="auto"/>
            <w:noWrap/>
            <w:vAlign w:val="center"/>
            <w:hideMark/>
          </w:tcPr>
          <w:p w14:paraId="06FA50F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2</w:t>
            </w:r>
          </w:p>
        </w:tc>
        <w:tc>
          <w:tcPr>
            <w:tcW w:w="1060" w:type="dxa"/>
            <w:gridSpan w:val="2"/>
            <w:shd w:val="clear" w:color="auto" w:fill="auto"/>
            <w:noWrap/>
            <w:vAlign w:val="center"/>
            <w:hideMark/>
          </w:tcPr>
          <w:p w14:paraId="4C007A2E" w14:textId="77777777" w:rsidR="00C07F34" w:rsidRPr="00965BDB" w:rsidRDefault="00C07F34" w:rsidP="00DB32D0">
            <w:pPr>
              <w:spacing w:line="240" w:lineRule="auto"/>
              <w:jc w:val="both"/>
              <w:rPr>
                <w:color w:val="000000" w:themeColor="text1"/>
                <w:sz w:val="20"/>
                <w:szCs w:val="20"/>
                <w:lang w:val="en-US" w:eastAsia="de-DE"/>
              </w:rPr>
            </w:pPr>
          </w:p>
        </w:tc>
        <w:tc>
          <w:tcPr>
            <w:tcW w:w="1920" w:type="dxa"/>
            <w:gridSpan w:val="3"/>
            <w:shd w:val="clear" w:color="auto" w:fill="auto"/>
            <w:noWrap/>
            <w:vAlign w:val="center"/>
            <w:hideMark/>
          </w:tcPr>
          <w:p w14:paraId="495C12DF" w14:textId="2165E8C3"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Samples out of population</w:t>
            </w:r>
            <w:r w:rsidR="00324D73">
              <w:rPr>
                <w:color w:val="000000" w:themeColor="text1"/>
                <w:sz w:val="20"/>
                <w:szCs w:val="20"/>
                <w:lang w:val="en-US" w:eastAsia="de-DE"/>
              </w:rPr>
              <w:t>s</w:t>
            </w:r>
            <w:r w:rsidRPr="00965BDB">
              <w:rPr>
                <w:color w:val="000000" w:themeColor="text1"/>
                <w:sz w:val="20"/>
                <w:szCs w:val="20"/>
                <w:lang w:val="en-US" w:eastAsia="de-DE"/>
              </w:rPr>
              <w:t xml:space="preserve"> 1</w:t>
            </w:r>
            <w:r w:rsidR="00324D73">
              <w:rPr>
                <w:color w:val="000000" w:themeColor="text1"/>
                <w:sz w:val="20"/>
                <w:szCs w:val="20"/>
                <w:lang w:val="en-US" w:eastAsia="de-DE"/>
              </w:rPr>
              <w:t xml:space="preserve"> and </w:t>
            </w:r>
            <w:r w:rsidRPr="00965BDB">
              <w:rPr>
                <w:color w:val="000000" w:themeColor="text1"/>
                <w:sz w:val="20"/>
                <w:szCs w:val="20"/>
                <w:lang w:val="en-US" w:eastAsia="de-DE"/>
              </w:rPr>
              <w:t>2</w:t>
            </w:r>
          </w:p>
        </w:tc>
        <w:tc>
          <w:tcPr>
            <w:tcW w:w="1835" w:type="dxa"/>
            <w:gridSpan w:val="3"/>
            <w:shd w:val="clear" w:color="auto" w:fill="auto"/>
            <w:noWrap/>
            <w:vAlign w:val="center"/>
            <w:hideMark/>
          </w:tcPr>
          <w:p w14:paraId="6C4CDEE2" w14:textId="77777777" w:rsidR="00C07F34" w:rsidRPr="00965BDB" w:rsidRDefault="00C07F34" w:rsidP="00DB32D0">
            <w:pPr>
              <w:spacing w:line="240" w:lineRule="auto"/>
              <w:ind w:left="-74"/>
              <w:rPr>
                <w:color w:val="000000" w:themeColor="text1"/>
                <w:sz w:val="20"/>
                <w:szCs w:val="20"/>
                <w:lang w:val="en-US" w:eastAsia="de-DE"/>
              </w:rPr>
            </w:pPr>
            <w:r w:rsidRPr="00965BDB">
              <w:rPr>
                <w:color w:val="000000" w:themeColor="text1"/>
                <w:sz w:val="20"/>
                <w:szCs w:val="20"/>
                <w:lang w:val="en-US" w:eastAsia="de-DE"/>
              </w:rPr>
              <w:t>Both samples out of population 1</w:t>
            </w:r>
          </w:p>
        </w:tc>
      </w:tr>
      <w:tr w:rsidR="00C07F34" w:rsidRPr="00965BDB" w14:paraId="4B4F0292" w14:textId="77777777" w:rsidTr="00B845B7">
        <w:trPr>
          <w:trHeight w:val="300"/>
        </w:trPr>
        <w:tc>
          <w:tcPr>
            <w:tcW w:w="1276" w:type="dxa"/>
            <w:shd w:val="clear" w:color="auto" w:fill="auto"/>
            <w:noWrap/>
            <w:vAlign w:val="center"/>
            <w:hideMark/>
          </w:tcPr>
          <w:p w14:paraId="585C6CA3" w14:textId="77777777" w:rsidR="00C07F34" w:rsidRPr="00965BDB" w:rsidRDefault="00C07F34" w:rsidP="00DB32D0">
            <w:pPr>
              <w:spacing w:line="240" w:lineRule="auto"/>
              <w:jc w:val="both"/>
              <w:rPr>
                <w:color w:val="000000" w:themeColor="text1"/>
                <w:sz w:val="20"/>
                <w:szCs w:val="20"/>
                <w:lang w:val="en-US" w:eastAsia="de-DE"/>
              </w:rPr>
            </w:pPr>
          </w:p>
        </w:tc>
        <w:tc>
          <w:tcPr>
            <w:tcW w:w="1418" w:type="dxa"/>
            <w:shd w:val="clear" w:color="auto" w:fill="auto"/>
            <w:noWrap/>
            <w:vAlign w:val="center"/>
            <w:hideMark/>
          </w:tcPr>
          <w:p w14:paraId="6CC0A13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1 (SD 1)</w:t>
            </w:r>
          </w:p>
        </w:tc>
        <w:tc>
          <w:tcPr>
            <w:tcW w:w="1417" w:type="dxa"/>
            <w:gridSpan w:val="2"/>
            <w:shd w:val="clear" w:color="auto" w:fill="auto"/>
            <w:noWrap/>
            <w:vAlign w:val="center"/>
            <w:hideMark/>
          </w:tcPr>
          <w:p w14:paraId="34F6EDA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2 (SD 2)</w:t>
            </w:r>
          </w:p>
        </w:tc>
        <w:tc>
          <w:tcPr>
            <w:tcW w:w="1060" w:type="dxa"/>
            <w:gridSpan w:val="2"/>
            <w:shd w:val="clear" w:color="auto" w:fill="auto"/>
            <w:noWrap/>
            <w:vAlign w:val="center"/>
            <w:hideMark/>
          </w:tcPr>
          <w:p w14:paraId="00077AE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ES</w:t>
            </w:r>
          </w:p>
        </w:tc>
        <w:tc>
          <w:tcPr>
            <w:tcW w:w="747" w:type="dxa"/>
            <w:shd w:val="clear" w:color="auto" w:fill="auto"/>
            <w:noWrap/>
            <w:vAlign w:val="center"/>
            <w:hideMark/>
          </w:tcPr>
          <w:p w14:paraId="3A01DC76"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1173" w:type="dxa"/>
            <w:gridSpan w:val="2"/>
            <w:shd w:val="clear" w:color="auto" w:fill="auto"/>
            <w:noWrap/>
            <w:vAlign w:val="center"/>
            <w:hideMark/>
          </w:tcPr>
          <w:p w14:paraId="747362B9"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U-Test</w:t>
            </w:r>
          </w:p>
        </w:tc>
        <w:tc>
          <w:tcPr>
            <w:tcW w:w="777" w:type="dxa"/>
            <w:shd w:val="clear" w:color="auto" w:fill="auto"/>
            <w:noWrap/>
            <w:vAlign w:val="center"/>
            <w:hideMark/>
          </w:tcPr>
          <w:p w14:paraId="099F421B"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921" w:type="dxa"/>
            <w:shd w:val="clear" w:color="auto" w:fill="auto"/>
            <w:noWrap/>
            <w:vAlign w:val="center"/>
            <w:hideMark/>
          </w:tcPr>
          <w:p w14:paraId="3DB7B2B1"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U-Test</w:t>
            </w:r>
          </w:p>
        </w:tc>
      </w:tr>
      <w:tr w:rsidR="00C07F34" w:rsidRPr="00965BDB" w14:paraId="0900F8AD" w14:textId="77777777" w:rsidTr="00B845B7">
        <w:trPr>
          <w:trHeight w:val="300"/>
        </w:trPr>
        <w:tc>
          <w:tcPr>
            <w:tcW w:w="1276" w:type="dxa"/>
            <w:shd w:val="clear" w:color="auto" w:fill="auto"/>
            <w:noWrap/>
            <w:vAlign w:val="center"/>
            <w:hideMark/>
          </w:tcPr>
          <w:p w14:paraId="312285D0" w14:textId="5D9F428D"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100</w:t>
            </w:r>
          </w:p>
        </w:tc>
        <w:tc>
          <w:tcPr>
            <w:tcW w:w="1418" w:type="dxa"/>
            <w:shd w:val="clear" w:color="auto" w:fill="auto"/>
            <w:noWrap/>
            <w:vAlign w:val="center"/>
            <w:hideMark/>
          </w:tcPr>
          <w:p w14:paraId="1474502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39.2 (20.4)</w:t>
            </w:r>
          </w:p>
        </w:tc>
        <w:tc>
          <w:tcPr>
            <w:tcW w:w="1417" w:type="dxa"/>
            <w:gridSpan w:val="2"/>
            <w:shd w:val="clear" w:color="auto" w:fill="auto"/>
            <w:noWrap/>
            <w:vAlign w:val="center"/>
            <w:hideMark/>
          </w:tcPr>
          <w:p w14:paraId="4D34E9D3"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45.6 (20.5)</w:t>
            </w:r>
          </w:p>
        </w:tc>
        <w:tc>
          <w:tcPr>
            <w:tcW w:w="1060" w:type="dxa"/>
            <w:gridSpan w:val="2"/>
            <w:shd w:val="clear" w:color="auto" w:fill="auto"/>
            <w:noWrap/>
            <w:vAlign w:val="center"/>
            <w:hideMark/>
          </w:tcPr>
          <w:p w14:paraId="01FB19D3"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191A62C9"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9.9%</w:t>
            </w:r>
          </w:p>
        </w:tc>
        <w:tc>
          <w:tcPr>
            <w:tcW w:w="1173" w:type="dxa"/>
            <w:gridSpan w:val="2"/>
            <w:shd w:val="clear" w:color="auto" w:fill="auto"/>
            <w:noWrap/>
            <w:vAlign w:val="center"/>
            <w:hideMark/>
          </w:tcPr>
          <w:p w14:paraId="244C762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9.0%</w:t>
            </w:r>
          </w:p>
        </w:tc>
        <w:tc>
          <w:tcPr>
            <w:tcW w:w="777" w:type="dxa"/>
            <w:shd w:val="clear" w:color="auto" w:fill="auto"/>
            <w:noWrap/>
            <w:vAlign w:val="center"/>
            <w:hideMark/>
          </w:tcPr>
          <w:p w14:paraId="245DFC2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4.4%</w:t>
            </w:r>
          </w:p>
        </w:tc>
        <w:tc>
          <w:tcPr>
            <w:tcW w:w="921" w:type="dxa"/>
            <w:shd w:val="clear" w:color="auto" w:fill="auto"/>
            <w:noWrap/>
            <w:vAlign w:val="center"/>
            <w:hideMark/>
          </w:tcPr>
          <w:p w14:paraId="449E53C8"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4.1%</w:t>
            </w:r>
          </w:p>
        </w:tc>
      </w:tr>
      <w:tr w:rsidR="00C07F34" w:rsidRPr="00965BDB" w14:paraId="3F4B16A9" w14:textId="77777777" w:rsidTr="00B845B7">
        <w:trPr>
          <w:trHeight w:val="300"/>
        </w:trPr>
        <w:tc>
          <w:tcPr>
            <w:tcW w:w="1276" w:type="dxa"/>
            <w:shd w:val="clear" w:color="auto" w:fill="auto"/>
            <w:noWrap/>
            <w:vAlign w:val="center"/>
            <w:hideMark/>
          </w:tcPr>
          <w:p w14:paraId="0550B03C" w14:textId="41C9008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7</w:t>
            </w:r>
          </w:p>
        </w:tc>
        <w:tc>
          <w:tcPr>
            <w:tcW w:w="1418" w:type="dxa"/>
            <w:shd w:val="clear" w:color="auto" w:fill="auto"/>
            <w:noWrap/>
            <w:vAlign w:val="center"/>
            <w:hideMark/>
          </w:tcPr>
          <w:p w14:paraId="0385A7CC"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3.1 (1.7)</w:t>
            </w:r>
          </w:p>
        </w:tc>
        <w:tc>
          <w:tcPr>
            <w:tcW w:w="1417" w:type="dxa"/>
            <w:gridSpan w:val="2"/>
            <w:shd w:val="clear" w:color="auto" w:fill="auto"/>
            <w:noWrap/>
            <w:vAlign w:val="center"/>
            <w:hideMark/>
          </w:tcPr>
          <w:p w14:paraId="3982E0D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3.6 (1.9)</w:t>
            </w:r>
          </w:p>
        </w:tc>
        <w:tc>
          <w:tcPr>
            <w:tcW w:w="1060" w:type="dxa"/>
            <w:gridSpan w:val="2"/>
            <w:shd w:val="clear" w:color="auto" w:fill="auto"/>
            <w:noWrap/>
            <w:vAlign w:val="center"/>
            <w:hideMark/>
          </w:tcPr>
          <w:p w14:paraId="6CF8D75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2169539C"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9.3%</w:t>
            </w:r>
          </w:p>
        </w:tc>
        <w:tc>
          <w:tcPr>
            <w:tcW w:w="1173" w:type="dxa"/>
            <w:gridSpan w:val="2"/>
            <w:shd w:val="clear" w:color="auto" w:fill="auto"/>
            <w:noWrap/>
            <w:vAlign w:val="center"/>
            <w:hideMark/>
          </w:tcPr>
          <w:p w14:paraId="60B95406"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7.9%</w:t>
            </w:r>
          </w:p>
        </w:tc>
        <w:tc>
          <w:tcPr>
            <w:tcW w:w="777" w:type="dxa"/>
            <w:shd w:val="clear" w:color="auto" w:fill="auto"/>
            <w:noWrap/>
            <w:vAlign w:val="center"/>
            <w:hideMark/>
          </w:tcPr>
          <w:p w14:paraId="40D9478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5.0%</w:t>
            </w:r>
          </w:p>
        </w:tc>
        <w:tc>
          <w:tcPr>
            <w:tcW w:w="921" w:type="dxa"/>
            <w:shd w:val="clear" w:color="auto" w:fill="auto"/>
            <w:noWrap/>
            <w:vAlign w:val="center"/>
            <w:hideMark/>
          </w:tcPr>
          <w:p w14:paraId="6A9A5F68"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4.5%</w:t>
            </w:r>
          </w:p>
        </w:tc>
      </w:tr>
      <w:tr w:rsidR="00C07F34" w:rsidRPr="00965BDB" w14:paraId="4421B543" w14:textId="77777777" w:rsidTr="00B845B7">
        <w:trPr>
          <w:trHeight w:val="300"/>
        </w:trPr>
        <w:tc>
          <w:tcPr>
            <w:tcW w:w="1276" w:type="dxa"/>
            <w:shd w:val="clear" w:color="auto" w:fill="auto"/>
            <w:noWrap/>
            <w:vAlign w:val="center"/>
            <w:hideMark/>
          </w:tcPr>
          <w:p w14:paraId="3EB1313A" w14:textId="572604B2"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5</w:t>
            </w:r>
          </w:p>
        </w:tc>
        <w:tc>
          <w:tcPr>
            <w:tcW w:w="1418" w:type="dxa"/>
            <w:shd w:val="clear" w:color="auto" w:fill="auto"/>
            <w:noWrap/>
            <w:vAlign w:val="center"/>
            <w:hideMark/>
          </w:tcPr>
          <w:p w14:paraId="2EBA6420"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1.7 (0.8)</w:t>
            </w:r>
          </w:p>
        </w:tc>
        <w:tc>
          <w:tcPr>
            <w:tcW w:w="1417" w:type="dxa"/>
            <w:gridSpan w:val="2"/>
            <w:shd w:val="clear" w:color="auto" w:fill="auto"/>
            <w:noWrap/>
            <w:vAlign w:val="center"/>
            <w:hideMark/>
          </w:tcPr>
          <w:p w14:paraId="3F9FE23D"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2.0 (0.9)</w:t>
            </w:r>
          </w:p>
        </w:tc>
        <w:tc>
          <w:tcPr>
            <w:tcW w:w="1060" w:type="dxa"/>
            <w:gridSpan w:val="2"/>
            <w:shd w:val="clear" w:color="auto" w:fill="auto"/>
            <w:noWrap/>
            <w:vAlign w:val="center"/>
            <w:hideMark/>
          </w:tcPr>
          <w:p w14:paraId="73B703F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47" w:type="dxa"/>
            <w:shd w:val="clear" w:color="auto" w:fill="auto"/>
            <w:noWrap/>
            <w:vAlign w:val="center"/>
            <w:hideMark/>
          </w:tcPr>
          <w:p w14:paraId="4F210C3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8.6%</w:t>
            </w:r>
          </w:p>
        </w:tc>
        <w:tc>
          <w:tcPr>
            <w:tcW w:w="1173" w:type="dxa"/>
            <w:gridSpan w:val="2"/>
            <w:shd w:val="clear" w:color="auto" w:fill="auto"/>
            <w:noWrap/>
            <w:vAlign w:val="center"/>
            <w:hideMark/>
          </w:tcPr>
          <w:p w14:paraId="41DDF42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7.3%</w:t>
            </w:r>
          </w:p>
        </w:tc>
        <w:tc>
          <w:tcPr>
            <w:tcW w:w="777" w:type="dxa"/>
            <w:shd w:val="clear" w:color="auto" w:fill="auto"/>
            <w:noWrap/>
            <w:vAlign w:val="center"/>
            <w:hideMark/>
          </w:tcPr>
          <w:p w14:paraId="7AEBED5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5.2%</w:t>
            </w:r>
          </w:p>
        </w:tc>
        <w:tc>
          <w:tcPr>
            <w:tcW w:w="921" w:type="dxa"/>
            <w:shd w:val="clear" w:color="auto" w:fill="auto"/>
            <w:noWrap/>
            <w:vAlign w:val="center"/>
            <w:hideMark/>
          </w:tcPr>
          <w:p w14:paraId="47FCB111"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4.2%</w:t>
            </w:r>
          </w:p>
        </w:tc>
      </w:tr>
    </w:tbl>
    <w:p w14:paraId="5C33AE3E"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color w:val="000000" w:themeColor="text1"/>
          <w:sz w:val="24"/>
          <w:szCs w:val="24"/>
        </w:rPr>
      </w:pPr>
    </w:p>
    <w:p w14:paraId="45B077BC" w14:textId="4DDBE053"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7: Sample size n</w:t>
      </w:r>
      <w:r w:rsidR="00324D73">
        <w:rPr>
          <w:bCs/>
          <w:color w:val="000000" w:themeColor="text1"/>
          <w:sz w:val="20"/>
          <w:szCs w:val="20"/>
          <w:lang w:val="en-US" w:eastAsia="de-DE"/>
        </w:rPr>
        <w:t> </w:t>
      </w:r>
      <w:r w:rsidRPr="00965BDB">
        <w:rPr>
          <w:i w:val="0"/>
          <w:iCs w:val="0"/>
          <w:color w:val="000000" w:themeColor="text1"/>
          <w:sz w:val="20"/>
          <w:szCs w:val="20"/>
          <w:lang w:val="en-US"/>
        </w:rPr>
        <w:t>=</w:t>
      </w:r>
      <w:r w:rsidR="00324D73">
        <w:rPr>
          <w:bCs/>
          <w:color w:val="000000" w:themeColor="text1"/>
          <w:sz w:val="20"/>
          <w:szCs w:val="20"/>
          <w:lang w:val="en-US" w:eastAsia="de-DE"/>
        </w:rPr>
        <w:t> </w:t>
      </w:r>
      <w:r w:rsidRPr="00965BDB">
        <w:rPr>
          <w:i w:val="0"/>
          <w:iCs w:val="0"/>
          <w:color w:val="000000" w:themeColor="text1"/>
          <w:sz w:val="20"/>
          <w:szCs w:val="20"/>
          <w:lang w:val="en-US"/>
        </w:rPr>
        <w:t>30 / skewed / effect size (ES)</w:t>
      </w:r>
    </w:p>
    <w:tbl>
      <w:tblPr>
        <w:tblW w:w="8931"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280"/>
        <w:gridCol w:w="137"/>
        <w:gridCol w:w="923"/>
        <w:gridCol w:w="137"/>
        <w:gridCol w:w="760"/>
        <w:gridCol w:w="1036"/>
        <w:gridCol w:w="137"/>
        <w:gridCol w:w="777"/>
        <w:gridCol w:w="1006"/>
        <w:gridCol w:w="44"/>
      </w:tblGrid>
      <w:tr w:rsidR="00C07F34" w:rsidRPr="00965BDB" w14:paraId="00CB13E5" w14:textId="77777777" w:rsidTr="00B845B7">
        <w:trPr>
          <w:gridAfter w:val="1"/>
          <w:wAfter w:w="44" w:type="dxa"/>
          <w:trHeight w:val="300"/>
        </w:trPr>
        <w:tc>
          <w:tcPr>
            <w:tcW w:w="1276" w:type="dxa"/>
            <w:shd w:val="clear" w:color="auto" w:fill="auto"/>
            <w:noWrap/>
            <w:vAlign w:val="center"/>
            <w:hideMark/>
          </w:tcPr>
          <w:p w14:paraId="1DEE40C3" w14:textId="30C04176" w:rsidR="00C07F34" w:rsidRPr="00965BDB" w:rsidRDefault="00C07F34" w:rsidP="00DB32D0">
            <w:pPr>
              <w:spacing w:line="240" w:lineRule="auto"/>
              <w:jc w:val="both"/>
              <w:rPr>
                <w:b/>
                <w:color w:val="000000" w:themeColor="text1"/>
                <w:sz w:val="20"/>
                <w:szCs w:val="20"/>
                <w:lang w:val="en-US" w:eastAsia="de-DE"/>
              </w:rPr>
            </w:pPr>
            <w:r w:rsidRPr="00965BDB">
              <w:rPr>
                <w:b/>
                <w:color w:val="000000" w:themeColor="text1"/>
                <w:sz w:val="20"/>
                <w:szCs w:val="20"/>
                <w:lang w:val="en-US" w:eastAsia="de-DE"/>
              </w:rPr>
              <w:t>n</w:t>
            </w:r>
            <w:r w:rsidR="00324D73">
              <w:rPr>
                <w:bCs/>
                <w:color w:val="000000" w:themeColor="text1"/>
                <w:sz w:val="20"/>
                <w:szCs w:val="20"/>
                <w:lang w:val="en-US" w:eastAsia="de-DE"/>
              </w:rPr>
              <w:t> </w:t>
            </w:r>
            <w:r w:rsidRPr="00965BDB">
              <w:rPr>
                <w:b/>
                <w:color w:val="000000" w:themeColor="text1"/>
                <w:sz w:val="20"/>
                <w:szCs w:val="20"/>
                <w:lang w:val="en-US" w:eastAsia="de-DE"/>
              </w:rPr>
              <w:t>=</w:t>
            </w:r>
            <w:r w:rsidR="00324D73">
              <w:rPr>
                <w:bCs/>
                <w:color w:val="000000" w:themeColor="text1"/>
                <w:sz w:val="20"/>
                <w:szCs w:val="20"/>
                <w:lang w:val="en-US" w:eastAsia="de-DE"/>
              </w:rPr>
              <w:t> </w:t>
            </w:r>
            <w:r w:rsidRPr="00965BDB">
              <w:rPr>
                <w:b/>
                <w:color w:val="000000" w:themeColor="text1"/>
                <w:sz w:val="20"/>
                <w:szCs w:val="20"/>
                <w:lang w:val="en-US" w:eastAsia="de-DE"/>
              </w:rPr>
              <w:t>30</w:t>
            </w:r>
          </w:p>
        </w:tc>
        <w:tc>
          <w:tcPr>
            <w:tcW w:w="1418" w:type="dxa"/>
            <w:shd w:val="clear" w:color="auto" w:fill="auto"/>
            <w:noWrap/>
            <w:vAlign w:val="center"/>
            <w:hideMark/>
          </w:tcPr>
          <w:p w14:paraId="58374E08"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1</w:t>
            </w:r>
          </w:p>
        </w:tc>
        <w:tc>
          <w:tcPr>
            <w:tcW w:w="1280" w:type="dxa"/>
            <w:shd w:val="clear" w:color="auto" w:fill="auto"/>
            <w:noWrap/>
            <w:vAlign w:val="center"/>
            <w:hideMark/>
          </w:tcPr>
          <w:p w14:paraId="5CB976E6"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2</w:t>
            </w:r>
          </w:p>
        </w:tc>
        <w:tc>
          <w:tcPr>
            <w:tcW w:w="1060" w:type="dxa"/>
            <w:gridSpan w:val="2"/>
            <w:shd w:val="clear" w:color="auto" w:fill="auto"/>
            <w:noWrap/>
            <w:vAlign w:val="center"/>
            <w:hideMark/>
          </w:tcPr>
          <w:p w14:paraId="52134845" w14:textId="77777777" w:rsidR="00C07F34" w:rsidRPr="00965BDB" w:rsidRDefault="00C07F34" w:rsidP="00DB32D0">
            <w:pPr>
              <w:spacing w:line="240" w:lineRule="auto"/>
              <w:jc w:val="both"/>
              <w:rPr>
                <w:color w:val="000000" w:themeColor="text1"/>
                <w:sz w:val="20"/>
                <w:szCs w:val="20"/>
                <w:lang w:val="en-US" w:eastAsia="de-DE"/>
              </w:rPr>
            </w:pPr>
          </w:p>
        </w:tc>
        <w:tc>
          <w:tcPr>
            <w:tcW w:w="1933" w:type="dxa"/>
            <w:gridSpan w:val="3"/>
            <w:shd w:val="clear" w:color="auto" w:fill="auto"/>
            <w:noWrap/>
            <w:vAlign w:val="center"/>
            <w:hideMark/>
          </w:tcPr>
          <w:p w14:paraId="48C85C6D" w14:textId="688F0FB5"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Samples out of population</w:t>
            </w:r>
            <w:r w:rsidR="00324D73">
              <w:rPr>
                <w:color w:val="000000" w:themeColor="text1"/>
                <w:sz w:val="20"/>
                <w:szCs w:val="20"/>
                <w:lang w:val="en-US" w:eastAsia="de-DE"/>
              </w:rPr>
              <w:t>s</w:t>
            </w:r>
            <w:r w:rsidRPr="00965BDB">
              <w:rPr>
                <w:color w:val="000000" w:themeColor="text1"/>
                <w:sz w:val="20"/>
                <w:szCs w:val="20"/>
                <w:lang w:val="en-US" w:eastAsia="de-DE"/>
              </w:rPr>
              <w:t xml:space="preserve"> 1</w:t>
            </w:r>
            <w:r w:rsidR="00324D73">
              <w:rPr>
                <w:color w:val="000000" w:themeColor="text1"/>
                <w:sz w:val="20"/>
                <w:szCs w:val="20"/>
                <w:lang w:val="en-US" w:eastAsia="de-DE"/>
              </w:rPr>
              <w:t xml:space="preserve"> and </w:t>
            </w:r>
            <w:r w:rsidRPr="00965BDB">
              <w:rPr>
                <w:color w:val="000000" w:themeColor="text1"/>
                <w:sz w:val="20"/>
                <w:szCs w:val="20"/>
                <w:lang w:val="en-US" w:eastAsia="de-DE"/>
              </w:rPr>
              <w:t>2</w:t>
            </w:r>
          </w:p>
        </w:tc>
        <w:tc>
          <w:tcPr>
            <w:tcW w:w="1920" w:type="dxa"/>
            <w:gridSpan w:val="3"/>
            <w:shd w:val="clear" w:color="auto" w:fill="auto"/>
            <w:noWrap/>
            <w:vAlign w:val="center"/>
            <w:hideMark/>
          </w:tcPr>
          <w:p w14:paraId="498EA7E0"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Both samples out of population 1</w:t>
            </w:r>
          </w:p>
        </w:tc>
      </w:tr>
      <w:tr w:rsidR="00C07F34" w:rsidRPr="00965BDB" w14:paraId="32B1215F" w14:textId="77777777" w:rsidTr="00B845B7">
        <w:trPr>
          <w:trHeight w:val="300"/>
        </w:trPr>
        <w:tc>
          <w:tcPr>
            <w:tcW w:w="1276" w:type="dxa"/>
            <w:shd w:val="clear" w:color="auto" w:fill="auto"/>
            <w:noWrap/>
            <w:vAlign w:val="center"/>
            <w:hideMark/>
          </w:tcPr>
          <w:p w14:paraId="09C6F1AA" w14:textId="77777777" w:rsidR="00C07F34" w:rsidRPr="00965BDB" w:rsidRDefault="00C07F34" w:rsidP="00DB32D0">
            <w:pPr>
              <w:spacing w:line="240" w:lineRule="auto"/>
              <w:jc w:val="both"/>
              <w:rPr>
                <w:color w:val="000000" w:themeColor="text1"/>
                <w:sz w:val="20"/>
                <w:szCs w:val="20"/>
                <w:lang w:val="en-US" w:eastAsia="de-DE"/>
              </w:rPr>
            </w:pPr>
          </w:p>
        </w:tc>
        <w:tc>
          <w:tcPr>
            <w:tcW w:w="1418" w:type="dxa"/>
            <w:shd w:val="clear" w:color="auto" w:fill="auto"/>
            <w:noWrap/>
            <w:vAlign w:val="center"/>
            <w:hideMark/>
          </w:tcPr>
          <w:p w14:paraId="3031C673"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1 (SD 1)</w:t>
            </w:r>
          </w:p>
        </w:tc>
        <w:tc>
          <w:tcPr>
            <w:tcW w:w="1417" w:type="dxa"/>
            <w:gridSpan w:val="2"/>
            <w:shd w:val="clear" w:color="auto" w:fill="auto"/>
            <w:noWrap/>
            <w:vAlign w:val="center"/>
            <w:hideMark/>
          </w:tcPr>
          <w:p w14:paraId="0096F7E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2 (SD 2)</w:t>
            </w:r>
          </w:p>
        </w:tc>
        <w:tc>
          <w:tcPr>
            <w:tcW w:w="1060" w:type="dxa"/>
            <w:gridSpan w:val="2"/>
            <w:shd w:val="clear" w:color="auto" w:fill="auto"/>
            <w:noWrap/>
            <w:vAlign w:val="center"/>
            <w:hideMark/>
          </w:tcPr>
          <w:p w14:paraId="3AB0BA4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ES</w:t>
            </w:r>
          </w:p>
        </w:tc>
        <w:tc>
          <w:tcPr>
            <w:tcW w:w="760" w:type="dxa"/>
            <w:shd w:val="clear" w:color="auto" w:fill="auto"/>
            <w:noWrap/>
            <w:vAlign w:val="center"/>
            <w:hideMark/>
          </w:tcPr>
          <w:p w14:paraId="28E84E0B"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1173" w:type="dxa"/>
            <w:gridSpan w:val="2"/>
            <w:shd w:val="clear" w:color="auto" w:fill="auto"/>
            <w:noWrap/>
            <w:vAlign w:val="center"/>
            <w:hideMark/>
          </w:tcPr>
          <w:p w14:paraId="7306C17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U-Test</w:t>
            </w:r>
          </w:p>
        </w:tc>
        <w:tc>
          <w:tcPr>
            <w:tcW w:w="777" w:type="dxa"/>
            <w:shd w:val="clear" w:color="auto" w:fill="auto"/>
            <w:noWrap/>
            <w:vAlign w:val="center"/>
            <w:hideMark/>
          </w:tcPr>
          <w:p w14:paraId="65386797"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1050" w:type="dxa"/>
            <w:gridSpan w:val="2"/>
            <w:shd w:val="clear" w:color="auto" w:fill="auto"/>
            <w:noWrap/>
            <w:vAlign w:val="center"/>
            <w:hideMark/>
          </w:tcPr>
          <w:p w14:paraId="3FEAEDC9"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U-Test</w:t>
            </w:r>
          </w:p>
        </w:tc>
      </w:tr>
      <w:tr w:rsidR="00C07F34" w:rsidRPr="00965BDB" w14:paraId="355D0383" w14:textId="77777777" w:rsidTr="00B845B7">
        <w:trPr>
          <w:trHeight w:val="300"/>
        </w:trPr>
        <w:tc>
          <w:tcPr>
            <w:tcW w:w="1276" w:type="dxa"/>
            <w:shd w:val="clear" w:color="auto" w:fill="auto"/>
            <w:noWrap/>
            <w:vAlign w:val="center"/>
            <w:hideMark/>
          </w:tcPr>
          <w:p w14:paraId="5059FBD3" w14:textId="535A73EF"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100</w:t>
            </w:r>
          </w:p>
        </w:tc>
        <w:tc>
          <w:tcPr>
            <w:tcW w:w="1418" w:type="dxa"/>
            <w:shd w:val="clear" w:color="auto" w:fill="auto"/>
            <w:noWrap/>
            <w:vAlign w:val="center"/>
            <w:hideMark/>
          </w:tcPr>
          <w:p w14:paraId="271E9DF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39.2 (20.4)</w:t>
            </w:r>
          </w:p>
        </w:tc>
        <w:tc>
          <w:tcPr>
            <w:tcW w:w="1417" w:type="dxa"/>
            <w:gridSpan w:val="2"/>
            <w:shd w:val="clear" w:color="auto" w:fill="auto"/>
            <w:noWrap/>
            <w:vAlign w:val="center"/>
            <w:hideMark/>
          </w:tcPr>
          <w:p w14:paraId="5C9F4ED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45.6 (20.5)</w:t>
            </w:r>
          </w:p>
        </w:tc>
        <w:tc>
          <w:tcPr>
            <w:tcW w:w="1060" w:type="dxa"/>
            <w:gridSpan w:val="2"/>
            <w:shd w:val="clear" w:color="auto" w:fill="auto"/>
            <w:noWrap/>
            <w:vAlign w:val="center"/>
            <w:hideMark/>
          </w:tcPr>
          <w:p w14:paraId="66A18CB0"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5E9F274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22.2%</w:t>
            </w:r>
          </w:p>
        </w:tc>
        <w:tc>
          <w:tcPr>
            <w:tcW w:w="1173" w:type="dxa"/>
            <w:gridSpan w:val="2"/>
            <w:shd w:val="clear" w:color="auto" w:fill="auto"/>
            <w:noWrap/>
            <w:vAlign w:val="center"/>
            <w:hideMark/>
          </w:tcPr>
          <w:p w14:paraId="1AB3E6B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21.5%</w:t>
            </w:r>
          </w:p>
        </w:tc>
        <w:tc>
          <w:tcPr>
            <w:tcW w:w="777" w:type="dxa"/>
            <w:shd w:val="clear" w:color="auto" w:fill="auto"/>
            <w:noWrap/>
            <w:vAlign w:val="center"/>
            <w:hideMark/>
          </w:tcPr>
          <w:p w14:paraId="02A65B8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5.1%</w:t>
            </w:r>
          </w:p>
        </w:tc>
        <w:tc>
          <w:tcPr>
            <w:tcW w:w="1050" w:type="dxa"/>
            <w:gridSpan w:val="2"/>
            <w:shd w:val="clear" w:color="auto" w:fill="auto"/>
            <w:noWrap/>
            <w:vAlign w:val="center"/>
            <w:hideMark/>
          </w:tcPr>
          <w:p w14:paraId="43126FEF"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5.0%</w:t>
            </w:r>
          </w:p>
        </w:tc>
      </w:tr>
      <w:tr w:rsidR="00C07F34" w:rsidRPr="00965BDB" w14:paraId="175101B4" w14:textId="77777777" w:rsidTr="00B845B7">
        <w:trPr>
          <w:trHeight w:val="300"/>
        </w:trPr>
        <w:tc>
          <w:tcPr>
            <w:tcW w:w="1276" w:type="dxa"/>
            <w:shd w:val="clear" w:color="auto" w:fill="auto"/>
            <w:noWrap/>
            <w:vAlign w:val="center"/>
            <w:hideMark/>
          </w:tcPr>
          <w:p w14:paraId="4C5C8158" w14:textId="501E883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7</w:t>
            </w:r>
          </w:p>
        </w:tc>
        <w:tc>
          <w:tcPr>
            <w:tcW w:w="1418" w:type="dxa"/>
            <w:shd w:val="clear" w:color="auto" w:fill="auto"/>
            <w:noWrap/>
            <w:vAlign w:val="center"/>
            <w:hideMark/>
          </w:tcPr>
          <w:p w14:paraId="13DAF51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3.1 (1.7)</w:t>
            </w:r>
          </w:p>
        </w:tc>
        <w:tc>
          <w:tcPr>
            <w:tcW w:w="1417" w:type="dxa"/>
            <w:gridSpan w:val="2"/>
            <w:shd w:val="clear" w:color="auto" w:fill="auto"/>
            <w:noWrap/>
            <w:vAlign w:val="center"/>
            <w:hideMark/>
          </w:tcPr>
          <w:p w14:paraId="51FA6C2B"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3.6 (1.9)</w:t>
            </w:r>
          </w:p>
        </w:tc>
        <w:tc>
          <w:tcPr>
            <w:tcW w:w="1060" w:type="dxa"/>
            <w:gridSpan w:val="2"/>
            <w:shd w:val="clear" w:color="auto" w:fill="auto"/>
            <w:noWrap/>
            <w:vAlign w:val="center"/>
            <w:hideMark/>
          </w:tcPr>
          <w:p w14:paraId="0F14998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24524C60"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21.9%</w:t>
            </w:r>
          </w:p>
        </w:tc>
        <w:tc>
          <w:tcPr>
            <w:tcW w:w="1173" w:type="dxa"/>
            <w:gridSpan w:val="2"/>
            <w:shd w:val="clear" w:color="auto" w:fill="auto"/>
            <w:noWrap/>
            <w:vAlign w:val="center"/>
            <w:hideMark/>
          </w:tcPr>
          <w:p w14:paraId="0448B62D"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19.8%</w:t>
            </w:r>
          </w:p>
        </w:tc>
        <w:tc>
          <w:tcPr>
            <w:tcW w:w="777" w:type="dxa"/>
            <w:shd w:val="clear" w:color="auto" w:fill="auto"/>
            <w:noWrap/>
            <w:vAlign w:val="center"/>
            <w:hideMark/>
          </w:tcPr>
          <w:p w14:paraId="748191C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5.1%</w:t>
            </w:r>
          </w:p>
        </w:tc>
        <w:tc>
          <w:tcPr>
            <w:tcW w:w="1050" w:type="dxa"/>
            <w:gridSpan w:val="2"/>
            <w:shd w:val="clear" w:color="auto" w:fill="auto"/>
            <w:noWrap/>
            <w:vAlign w:val="center"/>
            <w:hideMark/>
          </w:tcPr>
          <w:p w14:paraId="29C21FF7"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4.9%</w:t>
            </w:r>
          </w:p>
        </w:tc>
      </w:tr>
      <w:tr w:rsidR="00C07F34" w:rsidRPr="00965BDB" w14:paraId="5C1AD818" w14:textId="77777777" w:rsidTr="00B845B7">
        <w:trPr>
          <w:trHeight w:val="300"/>
        </w:trPr>
        <w:tc>
          <w:tcPr>
            <w:tcW w:w="1276" w:type="dxa"/>
            <w:shd w:val="clear" w:color="auto" w:fill="auto"/>
            <w:noWrap/>
            <w:vAlign w:val="center"/>
            <w:hideMark/>
          </w:tcPr>
          <w:p w14:paraId="19BB07FF" w14:textId="3E5C9181"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5</w:t>
            </w:r>
          </w:p>
        </w:tc>
        <w:tc>
          <w:tcPr>
            <w:tcW w:w="1418" w:type="dxa"/>
            <w:shd w:val="clear" w:color="auto" w:fill="auto"/>
            <w:noWrap/>
            <w:vAlign w:val="center"/>
            <w:hideMark/>
          </w:tcPr>
          <w:p w14:paraId="372E7E8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1.7 (0.8)</w:t>
            </w:r>
          </w:p>
        </w:tc>
        <w:tc>
          <w:tcPr>
            <w:tcW w:w="1417" w:type="dxa"/>
            <w:gridSpan w:val="2"/>
            <w:shd w:val="clear" w:color="auto" w:fill="auto"/>
            <w:noWrap/>
            <w:vAlign w:val="center"/>
            <w:hideMark/>
          </w:tcPr>
          <w:p w14:paraId="0DB9DAE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2.0 (0.9)</w:t>
            </w:r>
          </w:p>
        </w:tc>
        <w:tc>
          <w:tcPr>
            <w:tcW w:w="1060" w:type="dxa"/>
            <w:gridSpan w:val="2"/>
            <w:shd w:val="clear" w:color="auto" w:fill="auto"/>
            <w:noWrap/>
            <w:vAlign w:val="center"/>
            <w:hideMark/>
          </w:tcPr>
          <w:p w14:paraId="2E1007D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380AA6B7"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20.3%</w:t>
            </w:r>
          </w:p>
        </w:tc>
        <w:tc>
          <w:tcPr>
            <w:tcW w:w="1173" w:type="dxa"/>
            <w:gridSpan w:val="2"/>
            <w:shd w:val="clear" w:color="auto" w:fill="auto"/>
            <w:noWrap/>
            <w:vAlign w:val="center"/>
            <w:hideMark/>
          </w:tcPr>
          <w:p w14:paraId="0BAA96DF"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17.2%</w:t>
            </w:r>
          </w:p>
        </w:tc>
        <w:tc>
          <w:tcPr>
            <w:tcW w:w="777" w:type="dxa"/>
            <w:shd w:val="clear" w:color="auto" w:fill="auto"/>
            <w:noWrap/>
            <w:vAlign w:val="center"/>
            <w:hideMark/>
          </w:tcPr>
          <w:p w14:paraId="2A6A9B1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5.3%</w:t>
            </w:r>
          </w:p>
        </w:tc>
        <w:tc>
          <w:tcPr>
            <w:tcW w:w="1050" w:type="dxa"/>
            <w:gridSpan w:val="2"/>
            <w:shd w:val="clear" w:color="auto" w:fill="auto"/>
            <w:noWrap/>
            <w:vAlign w:val="center"/>
            <w:hideMark/>
          </w:tcPr>
          <w:p w14:paraId="56CB9B8A"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5.5%</w:t>
            </w:r>
          </w:p>
        </w:tc>
      </w:tr>
    </w:tbl>
    <w:p w14:paraId="0CE0FE31"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color w:val="000000" w:themeColor="text1"/>
          <w:sz w:val="20"/>
          <w:szCs w:val="20"/>
        </w:rPr>
      </w:pPr>
    </w:p>
    <w:p w14:paraId="2E845FBD" w14:textId="5E819043"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8: Sample size n</w:t>
      </w:r>
      <w:r w:rsidR="00324D73">
        <w:rPr>
          <w:bCs/>
          <w:color w:val="000000" w:themeColor="text1"/>
          <w:sz w:val="20"/>
          <w:szCs w:val="20"/>
          <w:lang w:val="en-US" w:eastAsia="de-DE"/>
        </w:rPr>
        <w:t> </w:t>
      </w:r>
      <w:r w:rsidRPr="00965BDB">
        <w:rPr>
          <w:i w:val="0"/>
          <w:iCs w:val="0"/>
          <w:color w:val="000000" w:themeColor="text1"/>
          <w:sz w:val="20"/>
          <w:szCs w:val="20"/>
          <w:lang w:val="en-US"/>
        </w:rPr>
        <w:t>=</w:t>
      </w:r>
      <w:r w:rsidR="00324D73">
        <w:rPr>
          <w:bCs/>
          <w:color w:val="000000" w:themeColor="text1"/>
          <w:sz w:val="20"/>
          <w:szCs w:val="20"/>
          <w:lang w:val="en-US" w:eastAsia="de-DE"/>
        </w:rPr>
        <w:t> </w:t>
      </w:r>
      <w:r w:rsidRPr="00965BDB">
        <w:rPr>
          <w:i w:val="0"/>
          <w:iCs w:val="0"/>
          <w:color w:val="000000" w:themeColor="text1"/>
          <w:sz w:val="20"/>
          <w:szCs w:val="20"/>
          <w:lang w:val="en-US"/>
        </w:rPr>
        <w:t>139 / skewed / effect size (ES)</w:t>
      </w:r>
    </w:p>
    <w:tbl>
      <w:tblPr>
        <w:tblW w:w="8887"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417"/>
        <w:gridCol w:w="923"/>
        <w:gridCol w:w="760"/>
        <w:gridCol w:w="1173"/>
        <w:gridCol w:w="777"/>
        <w:gridCol w:w="1143"/>
      </w:tblGrid>
      <w:tr w:rsidR="00C07F34" w:rsidRPr="00965BDB" w14:paraId="19311F8B" w14:textId="77777777" w:rsidTr="00AD2769">
        <w:trPr>
          <w:trHeight w:val="300"/>
        </w:trPr>
        <w:tc>
          <w:tcPr>
            <w:tcW w:w="1276" w:type="dxa"/>
            <w:shd w:val="clear" w:color="auto" w:fill="auto"/>
            <w:noWrap/>
            <w:vAlign w:val="center"/>
            <w:hideMark/>
          </w:tcPr>
          <w:p w14:paraId="2759A982" w14:textId="2844489E" w:rsidR="00C07F34" w:rsidRPr="00965BDB" w:rsidRDefault="00C07F34" w:rsidP="00DB32D0">
            <w:pPr>
              <w:spacing w:line="240" w:lineRule="auto"/>
              <w:jc w:val="both"/>
              <w:rPr>
                <w:b/>
                <w:color w:val="000000" w:themeColor="text1"/>
                <w:sz w:val="20"/>
                <w:szCs w:val="20"/>
                <w:lang w:val="en-US" w:eastAsia="de-DE"/>
              </w:rPr>
            </w:pPr>
            <w:r w:rsidRPr="00965BDB">
              <w:rPr>
                <w:b/>
                <w:color w:val="000000" w:themeColor="text1"/>
                <w:sz w:val="20"/>
                <w:szCs w:val="20"/>
                <w:lang w:val="en-US" w:eastAsia="de-DE"/>
              </w:rPr>
              <w:t>n</w:t>
            </w:r>
            <w:r w:rsidR="00324D73">
              <w:rPr>
                <w:bCs/>
                <w:color w:val="000000" w:themeColor="text1"/>
                <w:sz w:val="20"/>
                <w:szCs w:val="20"/>
                <w:lang w:val="en-US" w:eastAsia="de-DE"/>
              </w:rPr>
              <w:t> </w:t>
            </w:r>
            <w:r w:rsidRPr="00965BDB">
              <w:rPr>
                <w:b/>
                <w:color w:val="000000" w:themeColor="text1"/>
                <w:sz w:val="20"/>
                <w:szCs w:val="20"/>
                <w:lang w:val="en-US" w:eastAsia="de-DE"/>
              </w:rPr>
              <w:t>=</w:t>
            </w:r>
            <w:r w:rsidR="00324D73">
              <w:rPr>
                <w:bCs/>
                <w:color w:val="000000" w:themeColor="text1"/>
                <w:sz w:val="20"/>
                <w:szCs w:val="20"/>
                <w:lang w:val="en-US" w:eastAsia="de-DE"/>
              </w:rPr>
              <w:t> </w:t>
            </w:r>
            <w:r w:rsidRPr="00965BDB">
              <w:rPr>
                <w:b/>
                <w:color w:val="000000" w:themeColor="text1"/>
                <w:sz w:val="20"/>
                <w:szCs w:val="20"/>
                <w:lang w:val="en-US" w:eastAsia="de-DE"/>
              </w:rPr>
              <w:t>139</w:t>
            </w:r>
          </w:p>
        </w:tc>
        <w:tc>
          <w:tcPr>
            <w:tcW w:w="1418" w:type="dxa"/>
            <w:shd w:val="clear" w:color="auto" w:fill="auto"/>
            <w:noWrap/>
            <w:vAlign w:val="center"/>
            <w:hideMark/>
          </w:tcPr>
          <w:p w14:paraId="35C89D8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1</w:t>
            </w:r>
          </w:p>
        </w:tc>
        <w:tc>
          <w:tcPr>
            <w:tcW w:w="1417" w:type="dxa"/>
            <w:shd w:val="clear" w:color="auto" w:fill="auto"/>
            <w:noWrap/>
            <w:vAlign w:val="center"/>
            <w:hideMark/>
          </w:tcPr>
          <w:p w14:paraId="6C4FC11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Population 2</w:t>
            </w:r>
          </w:p>
        </w:tc>
        <w:tc>
          <w:tcPr>
            <w:tcW w:w="923" w:type="dxa"/>
            <w:shd w:val="clear" w:color="auto" w:fill="auto"/>
            <w:noWrap/>
            <w:vAlign w:val="center"/>
            <w:hideMark/>
          </w:tcPr>
          <w:p w14:paraId="4AB098E1" w14:textId="77777777" w:rsidR="00C07F34" w:rsidRPr="00965BDB" w:rsidRDefault="00C07F34" w:rsidP="00DB32D0">
            <w:pPr>
              <w:spacing w:line="240" w:lineRule="auto"/>
              <w:jc w:val="both"/>
              <w:rPr>
                <w:color w:val="000000" w:themeColor="text1"/>
                <w:sz w:val="20"/>
                <w:szCs w:val="20"/>
                <w:lang w:val="en-US" w:eastAsia="de-DE"/>
              </w:rPr>
            </w:pPr>
          </w:p>
        </w:tc>
        <w:tc>
          <w:tcPr>
            <w:tcW w:w="1933" w:type="dxa"/>
            <w:gridSpan w:val="2"/>
            <w:shd w:val="clear" w:color="auto" w:fill="auto"/>
            <w:noWrap/>
            <w:vAlign w:val="center"/>
            <w:hideMark/>
          </w:tcPr>
          <w:p w14:paraId="73E5C8AD" w14:textId="0046CE72"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Samples out of population</w:t>
            </w:r>
            <w:r w:rsidR="00324D73">
              <w:rPr>
                <w:color w:val="000000" w:themeColor="text1"/>
                <w:sz w:val="20"/>
                <w:szCs w:val="20"/>
                <w:lang w:val="en-US" w:eastAsia="de-DE"/>
              </w:rPr>
              <w:t>s</w:t>
            </w:r>
            <w:r w:rsidRPr="00965BDB">
              <w:rPr>
                <w:color w:val="000000" w:themeColor="text1"/>
                <w:sz w:val="20"/>
                <w:szCs w:val="20"/>
                <w:lang w:val="en-US" w:eastAsia="de-DE"/>
              </w:rPr>
              <w:t xml:space="preserve"> 1</w:t>
            </w:r>
            <w:r w:rsidR="00324D73">
              <w:rPr>
                <w:color w:val="000000" w:themeColor="text1"/>
                <w:sz w:val="20"/>
                <w:szCs w:val="20"/>
                <w:lang w:val="en-US" w:eastAsia="de-DE"/>
              </w:rPr>
              <w:t xml:space="preserve"> and </w:t>
            </w:r>
            <w:r w:rsidRPr="00965BDB">
              <w:rPr>
                <w:color w:val="000000" w:themeColor="text1"/>
                <w:sz w:val="20"/>
                <w:szCs w:val="20"/>
                <w:lang w:val="en-US" w:eastAsia="de-DE"/>
              </w:rPr>
              <w:t>2</w:t>
            </w:r>
          </w:p>
        </w:tc>
        <w:tc>
          <w:tcPr>
            <w:tcW w:w="1920" w:type="dxa"/>
            <w:gridSpan w:val="2"/>
            <w:shd w:val="clear" w:color="auto" w:fill="auto"/>
            <w:noWrap/>
            <w:vAlign w:val="center"/>
            <w:hideMark/>
          </w:tcPr>
          <w:p w14:paraId="515085FD" w14:textId="77777777" w:rsidR="00C07F34" w:rsidRPr="00965BDB" w:rsidRDefault="00C07F34" w:rsidP="00DB32D0">
            <w:pPr>
              <w:spacing w:line="240" w:lineRule="auto"/>
              <w:rPr>
                <w:color w:val="000000" w:themeColor="text1"/>
                <w:sz w:val="20"/>
                <w:szCs w:val="20"/>
                <w:lang w:val="en-US" w:eastAsia="de-DE"/>
              </w:rPr>
            </w:pPr>
            <w:r w:rsidRPr="00965BDB">
              <w:rPr>
                <w:color w:val="000000" w:themeColor="text1"/>
                <w:sz w:val="20"/>
                <w:szCs w:val="20"/>
                <w:lang w:val="en-US" w:eastAsia="de-DE"/>
              </w:rPr>
              <w:t>Both samples out of population 1</w:t>
            </w:r>
          </w:p>
        </w:tc>
      </w:tr>
      <w:tr w:rsidR="00C07F34" w:rsidRPr="00965BDB" w14:paraId="7F4A7AE2" w14:textId="77777777" w:rsidTr="009A7469">
        <w:trPr>
          <w:trHeight w:val="300"/>
        </w:trPr>
        <w:tc>
          <w:tcPr>
            <w:tcW w:w="1276" w:type="dxa"/>
            <w:shd w:val="clear" w:color="auto" w:fill="auto"/>
            <w:noWrap/>
            <w:vAlign w:val="center"/>
            <w:hideMark/>
          </w:tcPr>
          <w:p w14:paraId="0C93C8CD" w14:textId="77777777" w:rsidR="00C07F34" w:rsidRPr="00965BDB" w:rsidRDefault="00C07F34" w:rsidP="00DB32D0">
            <w:pPr>
              <w:spacing w:line="240" w:lineRule="auto"/>
              <w:jc w:val="both"/>
              <w:rPr>
                <w:color w:val="000000" w:themeColor="text1"/>
                <w:sz w:val="20"/>
                <w:szCs w:val="20"/>
                <w:lang w:val="en-US" w:eastAsia="de-DE"/>
              </w:rPr>
            </w:pPr>
          </w:p>
        </w:tc>
        <w:tc>
          <w:tcPr>
            <w:tcW w:w="1418" w:type="dxa"/>
            <w:shd w:val="clear" w:color="auto" w:fill="auto"/>
            <w:noWrap/>
            <w:vAlign w:val="center"/>
            <w:hideMark/>
          </w:tcPr>
          <w:p w14:paraId="1C8B27E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1 (SD 1)</w:t>
            </w:r>
          </w:p>
        </w:tc>
        <w:tc>
          <w:tcPr>
            <w:tcW w:w="1417" w:type="dxa"/>
            <w:shd w:val="clear" w:color="auto" w:fill="auto"/>
            <w:noWrap/>
            <w:vAlign w:val="center"/>
            <w:hideMark/>
          </w:tcPr>
          <w:p w14:paraId="2185C08D"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mean 2 (SD 2)</w:t>
            </w:r>
          </w:p>
        </w:tc>
        <w:tc>
          <w:tcPr>
            <w:tcW w:w="923" w:type="dxa"/>
            <w:shd w:val="clear" w:color="auto" w:fill="auto"/>
            <w:noWrap/>
            <w:vAlign w:val="center"/>
            <w:hideMark/>
          </w:tcPr>
          <w:p w14:paraId="2338A496"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ES</w:t>
            </w:r>
          </w:p>
        </w:tc>
        <w:tc>
          <w:tcPr>
            <w:tcW w:w="760" w:type="dxa"/>
            <w:shd w:val="clear" w:color="auto" w:fill="auto"/>
            <w:noWrap/>
            <w:vAlign w:val="center"/>
            <w:hideMark/>
          </w:tcPr>
          <w:p w14:paraId="4F0ECD48"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1173" w:type="dxa"/>
            <w:shd w:val="clear" w:color="auto" w:fill="auto"/>
            <w:noWrap/>
            <w:vAlign w:val="center"/>
            <w:hideMark/>
          </w:tcPr>
          <w:p w14:paraId="05E6253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U-Test</w:t>
            </w:r>
          </w:p>
        </w:tc>
        <w:tc>
          <w:tcPr>
            <w:tcW w:w="777" w:type="dxa"/>
            <w:shd w:val="clear" w:color="auto" w:fill="auto"/>
            <w:noWrap/>
            <w:vAlign w:val="center"/>
            <w:hideMark/>
          </w:tcPr>
          <w:p w14:paraId="692F6615"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t-test</w:t>
            </w:r>
          </w:p>
        </w:tc>
        <w:tc>
          <w:tcPr>
            <w:tcW w:w="1143" w:type="dxa"/>
            <w:shd w:val="clear" w:color="auto" w:fill="auto"/>
            <w:noWrap/>
            <w:vAlign w:val="center"/>
            <w:hideMark/>
          </w:tcPr>
          <w:p w14:paraId="5A6C140F"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U-Test</w:t>
            </w:r>
          </w:p>
        </w:tc>
      </w:tr>
      <w:tr w:rsidR="00C07F34" w:rsidRPr="00965BDB" w14:paraId="0FB3FE86" w14:textId="77777777" w:rsidTr="009A7469">
        <w:trPr>
          <w:trHeight w:val="300"/>
        </w:trPr>
        <w:tc>
          <w:tcPr>
            <w:tcW w:w="1276" w:type="dxa"/>
            <w:shd w:val="clear" w:color="auto" w:fill="auto"/>
            <w:noWrap/>
            <w:vAlign w:val="center"/>
            <w:hideMark/>
          </w:tcPr>
          <w:p w14:paraId="67591E78" w14:textId="376A90F4"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100</w:t>
            </w:r>
          </w:p>
        </w:tc>
        <w:tc>
          <w:tcPr>
            <w:tcW w:w="1418" w:type="dxa"/>
            <w:shd w:val="clear" w:color="auto" w:fill="auto"/>
            <w:noWrap/>
            <w:vAlign w:val="center"/>
            <w:hideMark/>
          </w:tcPr>
          <w:p w14:paraId="60F2D0DC"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39.2 (20.4)</w:t>
            </w:r>
          </w:p>
        </w:tc>
        <w:tc>
          <w:tcPr>
            <w:tcW w:w="1417" w:type="dxa"/>
            <w:shd w:val="clear" w:color="auto" w:fill="auto"/>
            <w:noWrap/>
            <w:vAlign w:val="center"/>
            <w:hideMark/>
          </w:tcPr>
          <w:p w14:paraId="5E437E0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45.6 (20.5)</w:t>
            </w:r>
          </w:p>
        </w:tc>
        <w:tc>
          <w:tcPr>
            <w:tcW w:w="923" w:type="dxa"/>
            <w:shd w:val="clear" w:color="auto" w:fill="auto"/>
            <w:noWrap/>
            <w:vAlign w:val="center"/>
            <w:hideMark/>
          </w:tcPr>
          <w:p w14:paraId="5E45F6C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3D1836C3"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73.2%</w:t>
            </w:r>
          </w:p>
        </w:tc>
        <w:tc>
          <w:tcPr>
            <w:tcW w:w="1173" w:type="dxa"/>
            <w:shd w:val="clear" w:color="auto" w:fill="auto"/>
            <w:noWrap/>
            <w:vAlign w:val="center"/>
            <w:hideMark/>
          </w:tcPr>
          <w:p w14:paraId="64F998D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72.1%</w:t>
            </w:r>
          </w:p>
        </w:tc>
        <w:tc>
          <w:tcPr>
            <w:tcW w:w="777" w:type="dxa"/>
            <w:shd w:val="clear" w:color="auto" w:fill="auto"/>
            <w:noWrap/>
            <w:vAlign w:val="center"/>
            <w:hideMark/>
          </w:tcPr>
          <w:p w14:paraId="5669BE0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5.5%</w:t>
            </w:r>
          </w:p>
        </w:tc>
        <w:tc>
          <w:tcPr>
            <w:tcW w:w="1143" w:type="dxa"/>
            <w:shd w:val="clear" w:color="auto" w:fill="auto"/>
            <w:noWrap/>
            <w:vAlign w:val="center"/>
            <w:hideMark/>
          </w:tcPr>
          <w:p w14:paraId="31AB3243"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5.3%</w:t>
            </w:r>
          </w:p>
        </w:tc>
      </w:tr>
      <w:tr w:rsidR="00C07F34" w:rsidRPr="00965BDB" w14:paraId="04BE5085" w14:textId="77777777" w:rsidTr="009A7469">
        <w:trPr>
          <w:trHeight w:val="300"/>
        </w:trPr>
        <w:tc>
          <w:tcPr>
            <w:tcW w:w="1276" w:type="dxa"/>
            <w:shd w:val="clear" w:color="auto" w:fill="auto"/>
            <w:noWrap/>
            <w:vAlign w:val="center"/>
            <w:hideMark/>
          </w:tcPr>
          <w:p w14:paraId="0738076A" w14:textId="0E47BA8F"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7</w:t>
            </w:r>
          </w:p>
        </w:tc>
        <w:tc>
          <w:tcPr>
            <w:tcW w:w="1418" w:type="dxa"/>
            <w:shd w:val="clear" w:color="auto" w:fill="auto"/>
            <w:noWrap/>
            <w:vAlign w:val="center"/>
            <w:hideMark/>
          </w:tcPr>
          <w:p w14:paraId="0B8131D9"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3.1 (1.7)</w:t>
            </w:r>
          </w:p>
        </w:tc>
        <w:tc>
          <w:tcPr>
            <w:tcW w:w="1417" w:type="dxa"/>
            <w:shd w:val="clear" w:color="auto" w:fill="auto"/>
            <w:noWrap/>
            <w:vAlign w:val="center"/>
            <w:hideMark/>
          </w:tcPr>
          <w:p w14:paraId="7661F81E"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3.6 (1.9)</w:t>
            </w:r>
          </w:p>
        </w:tc>
        <w:tc>
          <w:tcPr>
            <w:tcW w:w="923" w:type="dxa"/>
            <w:shd w:val="clear" w:color="auto" w:fill="auto"/>
            <w:noWrap/>
            <w:vAlign w:val="center"/>
            <w:hideMark/>
          </w:tcPr>
          <w:p w14:paraId="27789022"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573E3E4B"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71.0%</w:t>
            </w:r>
          </w:p>
        </w:tc>
        <w:tc>
          <w:tcPr>
            <w:tcW w:w="1173" w:type="dxa"/>
            <w:shd w:val="clear" w:color="auto" w:fill="auto"/>
            <w:noWrap/>
            <w:vAlign w:val="center"/>
            <w:hideMark/>
          </w:tcPr>
          <w:p w14:paraId="09E8AA3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67.8%</w:t>
            </w:r>
          </w:p>
        </w:tc>
        <w:tc>
          <w:tcPr>
            <w:tcW w:w="777" w:type="dxa"/>
            <w:shd w:val="clear" w:color="auto" w:fill="auto"/>
            <w:noWrap/>
            <w:vAlign w:val="center"/>
            <w:hideMark/>
          </w:tcPr>
          <w:p w14:paraId="3DD63008"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5.2%</w:t>
            </w:r>
          </w:p>
        </w:tc>
        <w:tc>
          <w:tcPr>
            <w:tcW w:w="1143" w:type="dxa"/>
            <w:shd w:val="clear" w:color="auto" w:fill="auto"/>
            <w:noWrap/>
            <w:vAlign w:val="center"/>
            <w:hideMark/>
          </w:tcPr>
          <w:p w14:paraId="5CFD8403"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5.2%</w:t>
            </w:r>
          </w:p>
        </w:tc>
      </w:tr>
      <w:tr w:rsidR="00C07F34" w:rsidRPr="00965BDB" w14:paraId="19825325" w14:textId="77777777" w:rsidTr="009A7469">
        <w:trPr>
          <w:trHeight w:val="300"/>
        </w:trPr>
        <w:tc>
          <w:tcPr>
            <w:tcW w:w="1276" w:type="dxa"/>
            <w:shd w:val="clear" w:color="auto" w:fill="auto"/>
            <w:noWrap/>
            <w:vAlign w:val="center"/>
            <w:hideMark/>
          </w:tcPr>
          <w:p w14:paraId="1423A13C" w14:textId="70CCC09C"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scale 1</w:t>
            </w:r>
            <w:r w:rsidR="00176481">
              <w:rPr>
                <w:color w:val="000000" w:themeColor="text1"/>
                <w:sz w:val="20"/>
                <w:szCs w:val="20"/>
                <w:lang w:val="en-US" w:eastAsia="de-DE"/>
              </w:rPr>
              <w:t>–</w:t>
            </w:r>
            <w:r w:rsidRPr="00965BDB">
              <w:rPr>
                <w:color w:val="000000" w:themeColor="text1"/>
                <w:sz w:val="20"/>
                <w:szCs w:val="20"/>
                <w:lang w:val="en-US" w:eastAsia="de-DE"/>
              </w:rPr>
              <w:t>5</w:t>
            </w:r>
          </w:p>
        </w:tc>
        <w:tc>
          <w:tcPr>
            <w:tcW w:w="1418" w:type="dxa"/>
            <w:shd w:val="clear" w:color="auto" w:fill="auto"/>
            <w:noWrap/>
            <w:vAlign w:val="center"/>
            <w:hideMark/>
          </w:tcPr>
          <w:p w14:paraId="35ED4700"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1.7 (0.8)</w:t>
            </w:r>
          </w:p>
        </w:tc>
        <w:tc>
          <w:tcPr>
            <w:tcW w:w="1417" w:type="dxa"/>
            <w:shd w:val="clear" w:color="auto" w:fill="auto"/>
            <w:noWrap/>
            <w:vAlign w:val="center"/>
            <w:hideMark/>
          </w:tcPr>
          <w:p w14:paraId="6AC99A6C"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2.0 (0.9)</w:t>
            </w:r>
          </w:p>
        </w:tc>
        <w:tc>
          <w:tcPr>
            <w:tcW w:w="923" w:type="dxa"/>
            <w:shd w:val="clear" w:color="auto" w:fill="auto"/>
            <w:noWrap/>
            <w:vAlign w:val="center"/>
            <w:hideMark/>
          </w:tcPr>
          <w:p w14:paraId="53360FC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0.3</w:t>
            </w:r>
          </w:p>
        </w:tc>
        <w:tc>
          <w:tcPr>
            <w:tcW w:w="760" w:type="dxa"/>
            <w:shd w:val="clear" w:color="auto" w:fill="auto"/>
            <w:noWrap/>
            <w:vAlign w:val="center"/>
            <w:hideMark/>
          </w:tcPr>
          <w:p w14:paraId="5C0735F4"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71.3%</w:t>
            </w:r>
          </w:p>
        </w:tc>
        <w:tc>
          <w:tcPr>
            <w:tcW w:w="1173" w:type="dxa"/>
            <w:shd w:val="clear" w:color="auto" w:fill="auto"/>
            <w:noWrap/>
            <w:vAlign w:val="center"/>
            <w:hideMark/>
          </w:tcPr>
          <w:p w14:paraId="1BADBF7D"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60.2%</w:t>
            </w:r>
          </w:p>
        </w:tc>
        <w:tc>
          <w:tcPr>
            <w:tcW w:w="777" w:type="dxa"/>
            <w:shd w:val="clear" w:color="auto" w:fill="auto"/>
            <w:noWrap/>
            <w:vAlign w:val="center"/>
            <w:hideMark/>
          </w:tcPr>
          <w:p w14:paraId="7397DCD3"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5.2%</w:t>
            </w:r>
          </w:p>
        </w:tc>
        <w:tc>
          <w:tcPr>
            <w:tcW w:w="1143" w:type="dxa"/>
            <w:shd w:val="clear" w:color="auto" w:fill="auto"/>
            <w:noWrap/>
            <w:vAlign w:val="center"/>
            <w:hideMark/>
          </w:tcPr>
          <w:p w14:paraId="23FF7042"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5.1%</w:t>
            </w:r>
          </w:p>
        </w:tc>
      </w:tr>
    </w:tbl>
    <w:p w14:paraId="37BC6AA3" w14:textId="77777777" w:rsidR="00C07F34" w:rsidRPr="00965BDB" w:rsidRDefault="00C07F34" w:rsidP="009A7469">
      <w:pPr>
        <w:pStyle w:val="CitaviBibliographyHeading"/>
        <w:keepNext w:val="0"/>
        <w:keepLines w:val="0"/>
        <w:outlineLvl w:val="9"/>
        <w:rPr>
          <w:rFonts w:ascii="Times New Roman" w:eastAsiaTheme="minorHAnsi" w:hAnsi="Times New Roman" w:cs="Times New Roman"/>
          <w:color w:val="000000" w:themeColor="text1"/>
          <w:sz w:val="20"/>
          <w:szCs w:val="20"/>
        </w:rPr>
      </w:pPr>
    </w:p>
    <w:p w14:paraId="5253D1E5" w14:textId="081B8391" w:rsidR="00C07F34" w:rsidRPr="00965BDB" w:rsidRDefault="00C07F34" w:rsidP="00DB32D0">
      <w:pPr>
        <w:pStyle w:val="Beschriftung"/>
        <w:keepNext/>
        <w:jc w:val="both"/>
        <w:rPr>
          <w:i w:val="0"/>
          <w:iCs w:val="0"/>
          <w:color w:val="000000" w:themeColor="text1"/>
          <w:sz w:val="20"/>
          <w:szCs w:val="20"/>
          <w:lang w:val="en-US"/>
        </w:rPr>
      </w:pPr>
      <w:r w:rsidRPr="00965BDB">
        <w:rPr>
          <w:i w:val="0"/>
          <w:iCs w:val="0"/>
          <w:color w:val="000000" w:themeColor="text1"/>
          <w:sz w:val="20"/>
          <w:szCs w:val="20"/>
          <w:lang w:val="en-US"/>
        </w:rPr>
        <w:t>Table 9: Sample size n</w:t>
      </w:r>
      <w:r w:rsidR="00324D73">
        <w:rPr>
          <w:bCs/>
          <w:color w:val="000000" w:themeColor="text1"/>
          <w:sz w:val="20"/>
          <w:szCs w:val="20"/>
          <w:lang w:val="en-US" w:eastAsia="de-DE"/>
        </w:rPr>
        <w:t> </w:t>
      </w:r>
      <w:r w:rsidRPr="00965BDB">
        <w:rPr>
          <w:i w:val="0"/>
          <w:iCs w:val="0"/>
          <w:color w:val="000000" w:themeColor="text1"/>
          <w:sz w:val="20"/>
          <w:szCs w:val="20"/>
          <w:lang w:val="en-US"/>
        </w:rPr>
        <w:t>=</w:t>
      </w:r>
      <w:r w:rsidR="00324D73">
        <w:rPr>
          <w:bCs/>
          <w:color w:val="000000" w:themeColor="text1"/>
          <w:sz w:val="20"/>
          <w:szCs w:val="20"/>
          <w:lang w:val="en-US" w:eastAsia="de-DE"/>
        </w:rPr>
        <w:t> </w:t>
      </w:r>
      <w:r w:rsidRPr="00965BDB">
        <w:rPr>
          <w:i w:val="0"/>
          <w:iCs w:val="0"/>
          <w:color w:val="000000" w:themeColor="text1"/>
          <w:sz w:val="20"/>
          <w:szCs w:val="20"/>
          <w:lang w:val="en-US"/>
        </w:rPr>
        <w:t>300 / skewed / effect size (ES)</w:t>
      </w:r>
    </w:p>
    <w:tbl>
      <w:tblPr>
        <w:tblW w:w="8817" w:type="dxa"/>
        <w:tblBorders>
          <w:top w:val="single" w:sz="4" w:space="0" w:color="auto"/>
          <w:bottom w:val="single" w:sz="4" w:space="0" w:color="auto"/>
          <w:insideH w:val="dashSmallGap" w:sz="4" w:space="0" w:color="auto"/>
        </w:tblBorders>
        <w:tblCellMar>
          <w:left w:w="70" w:type="dxa"/>
          <w:right w:w="70" w:type="dxa"/>
        </w:tblCellMar>
        <w:tblLook w:val="04A0" w:firstRow="1" w:lastRow="0" w:firstColumn="1" w:lastColumn="0" w:noHBand="0" w:noVBand="1"/>
      </w:tblPr>
      <w:tblGrid>
        <w:gridCol w:w="1276"/>
        <w:gridCol w:w="1418"/>
        <w:gridCol w:w="1280"/>
        <w:gridCol w:w="137"/>
        <w:gridCol w:w="923"/>
        <w:gridCol w:w="137"/>
        <w:gridCol w:w="760"/>
        <w:gridCol w:w="1036"/>
        <w:gridCol w:w="137"/>
        <w:gridCol w:w="701"/>
        <w:gridCol w:w="984"/>
        <w:gridCol w:w="28"/>
      </w:tblGrid>
      <w:tr w:rsidR="00C07F34" w:rsidRPr="00965BDB" w14:paraId="5E01DA0D" w14:textId="77777777" w:rsidTr="00B845B7">
        <w:trPr>
          <w:trHeight w:val="300"/>
        </w:trPr>
        <w:tc>
          <w:tcPr>
            <w:tcW w:w="1276" w:type="dxa"/>
            <w:shd w:val="clear" w:color="auto" w:fill="auto"/>
            <w:noWrap/>
            <w:vAlign w:val="center"/>
            <w:hideMark/>
          </w:tcPr>
          <w:p w14:paraId="74A8207F" w14:textId="6B30BE00" w:rsidR="00C07F34" w:rsidRPr="00965BDB" w:rsidRDefault="00C07F34" w:rsidP="00DB32D0">
            <w:pPr>
              <w:spacing w:line="240" w:lineRule="auto"/>
              <w:jc w:val="both"/>
              <w:rPr>
                <w:b/>
                <w:sz w:val="20"/>
                <w:szCs w:val="20"/>
                <w:lang w:val="en-US" w:eastAsia="de-DE"/>
              </w:rPr>
            </w:pPr>
            <w:r w:rsidRPr="00965BDB">
              <w:rPr>
                <w:b/>
                <w:sz w:val="20"/>
                <w:szCs w:val="20"/>
                <w:lang w:val="en-US" w:eastAsia="de-DE"/>
              </w:rPr>
              <w:t>n</w:t>
            </w:r>
            <w:r w:rsidR="00324D73">
              <w:rPr>
                <w:bCs/>
                <w:color w:val="000000" w:themeColor="text1"/>
                <w:sz w:val="20"/>
                <w:szCs w:val="20"/>
                <w:lang w:val="en-US" w:eastAsia="de-DE"/>
              </w:rPr>
              <w:t> </w:t>
            </w:r>
            <w:r w:rsidRPr="00965BDB">
              <w:rPr>
                <w:b/>
                <w:sz w:val="20"/>
                <w:szCs w:val="20"/>
                <w:lang w:val="en-US" w:eastAsia="de-DE"/>
              </w:rPr>
              <w:t>=</w:t>
            </w:r>
            <w:r w:rsidR="00324D73">
              <w:rPr>
                <w:bCs/>
                <w:color w:val="000000" w:themeColor="text1"/>
                <w:sz w:val="20"/>
                <w:szCs w:val="20"/>
                <w:lang w:val="en-US" w:eastAsia="de-DE"/>
              </w:rPr>
              <w:t> </w:t>
            </w:r>
            <w:r w:rsidRPr="00965BDB">
              <w:rPr>
                <w:b/>
                <w:sz w:val="20"/>
                <w:szCs w:val="20"/>
                <w:lang w:val="en-US" w:eastAsia="de-DE"/>
              </w:rPr>
              <w:t>300</w:t>
            </w:r>
          </w:p>
        </w:tc>
        <w:tc>
          <w:tcPr>
            <w:tcW w:w="1418" w:type="dxa"/>
            <w:shd w:val="clear" w:color="auto" w:fill="auto"/>
            <w:noWrap/>
            <w:vAlign w:val="center"/>
            <w:hideMark/>
          </w:tcPr>
          <w:p w14:paraId="70F38DF6"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Population 1</w:t>
            </w:r>
          </w:p>
        </w:tc>
        <w:tc>
          <w:tcPr>
            <w:tcW w:w="1280" w:type="dxa"/>
            <w:shd w:val="clear" w:color="auto" w:fill="auto"/>
            <w:noWrap/>
            <w:vAlign w:val="center"/>
            <w:hideMark/>
          </w:tcPr>
          <w:p w14:paraId="4A9A10E0"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Population 2</w:t>
            </w:r>
          </w:p>
        </w:tc>
        <w:tc>
          <w:tcPr>
            <w:tcW w:w="1060" w:type="dxa"/>
            <w:gridSpan w:val="2"/>
            <w:shd w:val="clear" w:color="auto" w:fill="auto"/>
            <w:noWrap/>
            <w:vAlign w:val="center"/>
            <w:hideMark/>
          </w:tcPr>
          <w:p w14:paraId="13863A9E" w14:textId="77777777" w:rsidR="00C07F34" w:rsidRPr="00965BDB" w:rsidRDefault="00C07F34" w:rsidP="00DB32D0">
            <w:pPr>
              <w:spacing w:line="240" w:lineRule="auto"/>
              <w:jc w:val="both"/>
              <w:rPr>
                <w:color w:val="000000"/>
                <w:sz w:val="20"/>
                <w:szCs w:val="20"/>
                <w:lang w:val="en-US" w:eastAsia="de-DE"/>
              </w:rPr>
            </w:pPr>
          </w:p>
        </w:tc>
        <w:tc>
          <w:tcPr>
            <w:tcW w:w="1933" w:type="dxa"/>
            <w:gridSpan w:val="3"/>
            <w:shd w:val="clear" w:color="auto" w:fill="auto"/>
            <w:noWrap/>
            <w:vAlign w:val="center"/>
            <w:hideMark/>
          </w:tcPr>
          <w:p w14:paraId="1F837FB0" w14:textId="7A061781" w:rsidR="00C07F34" w:rsidRPr="00965BDB" w:rsidRDefault="00C07F34" w:rsidP="00DB32D0">
            <w:pPr>
              <w:spacing w:line="240" w:lineRule="auto"/>
              <w:rPr>
                <w:color w:val="000000"/>
                <w:sz w:val="20"/>
                <w:szCs w:val="20"/>
                <w:lang w:val="en-US" w:eastAsia="de-DE"/>
              </w:rPr>
            </w:pPr>
            <w:r w:rsidRPr="00965BDB">
              <w:rPr>
                <w:color w:val="000000"/>
                <w:sz w:val="20"/>
                <w:szCs w:val="20"/>
                <w:lang w:val="en-US" w:eastAsia="de-DE"/>
              </w:rPr>
              <w:t>Samples out of population</w:t>
            </w:r>
            <w:r w:rsidR="00324D73">
              <w:rPr>
                <w:color w:val="000000"/>
                <w:sz w:val="20"/>
                <w:szCs w:val="20"/>
                <w:lang w:val="en-US" w:eastAsia="de-DE"/>
              </w:rPr>
              <w:t>s</w:t>
            </w:r>
            <w:r w:rsidRPr="00965BDB">
              <w:rPr>
                <w:color w:val="000000"/>
                <w:sz w:val="20"/>
                <w:szCs w:val="20"/>
                <w:lang w:val="en-US" w:eastAsia="de-DE"/>
              </w:rPr>
              <w:t xml:space="preserve"> 1</w:t>
            </w:r>
            <w:r w:rsidR="00324D73">
              <w:rPr>
                <w:color w:val="000000"/>
                <w:sz w:val="20"/>
                <w:szCs w:val="20"/>
                <w:lang w:val="en-US" w:eastAsia="de-DE"/>
              </w:rPr>
              <w:t xml:space="preserve"> and </w:t>
            </w:r>
            <w:r w:rsidRPr="00965BDB">
              <w:rPr>
                <w:color w:val="000000"/>
                <w:sz w:val="20"/>
                <w:szCs w:val="20"/>
                <w:lang w:val="en-US" w:eastAsia="de-DE"/>
              </w:rPr>
              <w:t>2</w:t>
            </w:r>
          </w:p>
        </w:tc>
        <w:tc>
          <w:tcPr>
            <w:tcW w:w="1850" w:type="dxa"/>
            <w:gridSpan w:val="4"/>
            <w:shd w:val="clear" w:color="auto" w:fill="auto"/>
            <w:noWrap/>
            <w:vAlign w:val="center"/>
            <w:hideMark/>
          </w:tcPr>
          <w:p w14:paraId="12C656EF" w14:textId="77777777" w:rsidR="00C07F34" w:rsidRPr="00965BDB" w:rsidRDefault="00C07F34" w:rsidP="00DB32D0">
            <w:pPr>
              <w:spacing w:line="240" w:lineRule="auto"/>
              <w:rPr>
                <w:color w:val="000000"/>
                <w:sz w:val="20"/>
                <w:szCs w:val="20"/>
                <w:lang w:val="en-US" w:eastAsia="de-DE"/>
              </w:rPr>
            </w:pPr>
            <w:r w:rsidRPr="00965BDB">
              <w:rPr>
                <w:color w:val="000000"/>
                <w:sz w:val="20"/>
                <w:szCs w:val="20"/>
                <w:lang w:val="en-US" w:eastAsia="de-DE"/>
              </w:rPr>
              <w:t>Both samples out of population 1</w:t>
            </w:r>
          </w:p>
        </w:tc>
      </w:tr>
      <w:tr w:rsidR="00C07F34" w:rsidRPr="00965BDB" w14:paraId="7642ABA5" w14:textId="77777777" w:rsidTr="00B845B7">
        <w:trPr>
          <w:gridAfter w:val="1"/>
          <w:wAfter w:w="28" w:type="dxa"/>
          <w:trHeight w:val="300"/>
        </w:trPr>
        <w:tc>
          <w:tcPr>
            <w:tcW w:w="1276" w:type="dxa"/>
            <w:shd w:val="clear" w:color="auto" w:fill="auto"/>
            <w:noWrap/>
            <w:vAlign w:val="center"/>
            <w:hideMark/>
          </w:tcPr>
          <w:p w14:paraId="08170CA7" w14:textId="77777777" w:rsidR="00C07F34" w:rsidRPr="00965BDB" w:rsidRDefault="00C07F34" w:rsidP="00DB32D0">
            <w:pPr>
              <w:spacing w:line="240" w:lineRule="auto"/>
              <w:jc w:val="both"/>
              <w:rPr>
                <w:color w:val="000000"/>
                <w:sz w:val="20"/>
                <w:szCs w:val="20"/>
                <w:lang w:val="en-US" w:eastAsia="de-DE"/>
              </w:rPr>
            </w:pPr>
          </w:p>
        </w:tc>
        <w:tc>
          <w:tcPr>
            <w:tcW w:w="1418" w:type="dxa"/>
            <w:shd w:val="clear" w:color="auto" w:fill="auto"/>
            <w:noWrap/>
            <w:vAlign w:val="center"/>
            <w:hideMark/>
          </w:tcPr>
          <w:p w14:paraId="774D13AB"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mean 1 (SD 1)</w:t>
            </w:r>
          </w:p>
        </w:tc>
        <w:tc>
          <w:tcPr>
            <w:tcW w:w="1417" w:type="dxa"/>
            <w:gridSpan w:val="2"/>
            <w:shd w:val="clear" w:color="auto" w:fill="auto"/>
            <w:noWrap/>
            <w:vAlign w:val="center"/>
            <w:hideMark/>
          </w:tcPr>
          <w:p w14:paraId="62F87F61"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mean 2 (SD 2)</w:t>
            </w:r>
          </w:p>
        </w:tc>
        <w:tc>
          <w:tcPr>
            <w:tcW w:w="1060" w:type="dxa"/>
            <w:gridSpan w:val="2"/>
            <w:shd w:val="clear" w:color="auto" w:fill="auto"/>
            <w:noWrap/>
            <w:vAlign w:val="center"/>
            <w:hideMark/>
          </w:tcPr>
          <w:p w14:paraId="723B9A9B"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ES</w:t>
            </w:r>
          </w:p>
        </w:tc>
        <w:tc>
          <w:tcPr>
            <w:tcW w:w="760" w:type="dxa"/>
            <w:shd w:val="clear" w:color="auto" w:fill="auto"/>
            <w:noWrap/>
            <w:vAlign w:val="center"/>
            <w:hideMark/>
          </w:tcPr>
          <w:p w14:paraId="73A71B80"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t-test</w:t>
            </w:r>
          </w:p>
        </w:tc>
        <w:tc>
          <w:tcPr>
            <w:tcW w:w="1173" w:type="dxa"/>
            <w:gridSpan w:val="2"/>
            <w:shd w:val="clear" w:color="auto" w:fill="auto"/>
            <w:noWrap/>
            <w:vAlign w:val="center"/>
            <w:hideMark/>
          </w:tcPr>
          <w:p w14:paraId="6CD6EC9E"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U-Test</w:t>
            </w:r>
          </w:p>
        </w:tc>
        <w:tc>
          <w:tcPr>
            <w:tcW w:w="701" w:type="dxa"/>
            <w:shd w:val="clear" w:color="auto" w:fill="auto"/>
            <w:noWrap/>
            <w:vAlign w:val="center"/>
            <w:hideMark/>
          </w:tcPr>
          <w:p w14:paraId="0C4051A1"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t-test</w:t>
            </w:r>
          </w:p>
        </w:tc>
        <w:tc>
          <w:tcPr>
            <w:tcW w:w="984" w:type="dxa"/>
            <w:shd w:val="clear" w:color="auto" w:fill="auto"/>
            <w:noWrap/>
            <w:vAlign w:val="center"/>
            <w:hideMark/>
          </w:tcPr>
          <w:p w14:paraId="1A883414" w14:textId="77777777" w:rsidR="00C07F34" w:rsidRPr="00965BDB" w:rsidRDefault="00C07F34" w:rsidP="009A7469">
            <w:pPr>
              <w:spacing w:line="240" w:lineRule="auto"/>
              <w:rPr>
                <w:color w:val="000000"/>
                <w:sz w:val="20"/>
                <w:szCs w:val="20"/>
                <w:lang w:val="en-US" w:eastAsia="de-DE"/>
              </w:rPr>
            </w:pPr>
            <w:r w:rsidRPr="00965BDB">
              <w:rPr>
                <w:color w:val="000000"/>
                <w:sz w:val="20"/>
                <w:szCs w:val="20"/>
                <w:lang w:val="en-US" w:eastAsia="de-DE"/>
              </w:rPr>
              <w:t>U-Test</w:t>
            </w:r>
          </w:p>
        </w:tc>
      </w:tr>
      <w:tr w:rsidR="00C07F34" w:rsidRPr="00965BDB" w14:paraId="277D052B" w14:textId="77777777" w:rsidTr="00B845B7">
        <w:trPr>
          <w:gridAfter w:val="1"/>
          <w:wAfter w:w="28" w:type="dxa"/>
          <w:trHeight w:val="300"/>
        </w:trPr>
        <w:tc>
          <w:tcPr>
            <w:tcW w:w="1276" w:type="dxa"/>
            <w:shd w:val="clear" w:color="auto" w:fill="auto"/>
            <w:noWrap/>
            <w:vAlign w:val="center"/>
            <w:hideMark/>
          </w:tcPr>
          <w:p w14:paraId="76BFC49C" w14:textId="56C0B35D"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100</w:t>
            </w:r>
          </w:p>
        </w:tc>
        <w:tc>
          <w:tcPr>
            <w:tcW w:w="1418" w:type="dxa"/>
            <w:shd w:val="clear" w:color="auto" w:fill="auto"/>
            <w:noWrap/>
            <w:vAlign w:val="center"/>
            <w:hideMark/>
          </w:tcPr>
          <w:p w14:paraId="35E695A0"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39.2 (20.4)</w:t>
            </w:r>
          </w:p>
        </w:tc>
        <w:tc>
          <w:tcPr>
            <w:tcW w:w="1417" w:type="dxa"/>
            <w:gridSpan w:val="2"/>
            <w:shd w:val="clear" w:color="auto" w:fill="auto"/>
            <w:noWrap/>
            <w:vAlign w:val="center"/>
            <w:hideMark/>
          </w:tcPr>
          <w:p w14:paraId="6A06E5D4"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45.6 (20.5)</w:t>
            </w:r>
          </w:p>
        </w:tc>
        <w:tc>
          <w:tcPr>
            <w:tcW w:w="1060" w:type="dxa"/>
            <w:gridSpan w:val="2"/>
            <w:shd w:val="clear" w:color="auto" w:fill="auto"/>
            <w:noWrap/>
            <w:vAlign w:val="center"/>
            <w:hideMark/>
          </w:tcPr>
          <w:p w14:paraId="25ABD387"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760" w:type="dxa"/>
            <w:shd w:val="clear" w:color="auto" w:fill="auto"/>
            <w:noWrap/>
            <w:vAlign w:val="center"/>
            <w:hideMark/>
          </w:tcPr>
          <w:p w14:paraId="4BDEAFE5"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95.5%</w:t>
            </w:r>
          </w:p>
        </w:tc>
        <w:tc>
          <w:tcPr>
            <w:tcW w:w="1173" w:type="dxa"/>
            <w:gridSpan w:val="2"/>
            <w:shd w:val="clear" w:color="auto" w:fill="auto"/>
            <w:noWrap/>
            <w:vAlign w:val="center"/>
            <w:hideMark/>
          </w:tcPr>
          <w:p w14:paraId="390EB377"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94.8%</w:t>
            </w:r>
          </w:p>
        </w:tc>
        <w:tc>
          <w:tcPr>
            <w:tcW w:w="701" w:type="dxa"/>
            <w:shd w:val="clear" w:color="auto" w:fill="auto"/>
            <w:noWrap/>
            <w:vAlign w:val="center"/>
            <w:hideMark/>
          </w:tcPr>
          <w:p w14:paraId="0407BCD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6.4%</w:t>
            </w:r>
          </w:p>
        </w:tc>
        <w:tc>
          <w:tcPr>
            <w:tcW w:w="984" w:type="dxa"/>
            <w:shd w:val="clear" w:color="auto" w:fill="auto"/>
            <w:noWrap/>
            <w:vAlign w:val="center"/>
            <w:hideMark/>
          </w:tcPr>
          <w:p w14:paraId="37E35693"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6.6%</w:t>
            </w:r>
          </w:p>
        </w:tc>
      </w:tr>
      <w:tr w:rsidR="00C07F34" w:rsidRPr="00965BDB" w14:paraId="68C5ACC8" w14:textId="77777777" w:rsidTr="00B845B7">
        <w:trPr>
          <w:gridAfter w:val="1"/>
          <w:wAfter w:w="28" w:type="dxa"/>
          <w:trHeight w:val="300"/>
        </w:trPr>
        <w:tc>
          <w:tcPr>
            <w:tcW w:w="1276" w:type="dxa"/>
            <w:shd w:val="clear" w:color="auto" w:fill="auto"/>
            <w:noWrap/>
            <w:vAlign w:val="center"/>
            <w:hideMark/>
          </w:tcPr>
          <w:p w14:paraId="023C0C34" w14:textId="39ADC83C"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7</w:t>
            </w:r>
          </w:p>
        </w:tc>
        <w:tc>
          <w:tcPr>
            <w:tcW w:w="1418" w:type="dxa"/>
            <w:shd w:val="clear" w:color="auto" w:fill="auto"/>
            <w:noWrap/>
            <w:vAlign w:val="center"/>
            <w:hideMark/>
          </w:tcPr>
          <w:p w14:paraId="54ACE89A"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3.1 (1.7)</w:t>
            </w:r>
          </w:p>
        </w:tc>
        <w:tc>
          <w:tcPr>
            <w:tcW w:w="1417" w:type="dxa"/>
            <w:gridSpan w:val="2"/>
            <w:shd w:val="clear" w:color="auto" w:fill="auto"/>
            <w:noWrap/>
            <w:vAlign w:val="center"/>
            <w:hideMark/>
          </w:tcPr>
          <w:p w14:paraId="08644141"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3.6 (1.9)</w:t>
            </w:r>
          </w:p>
        </w:tc>
        <w:tc>
          <w:tcPr>
            <w:tcW w:w="1060" w:type="dxa"/>
            <w:gridSpan w:val="2"/>
            <w:shd w:val="clear" w:color="auto" w:fill="auto"/>
            <w:noWrap/>
            <w:vAlign w:val="center"/>
            <w:hideMark/>
          </w:tcPr>
          <w:p w14:paraId="092814E9"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760" w:type="dxa"/>
            <w:shd w:val="clear" w:color="auto" w:fill="auto"/>
            <w:noWrap/>
            <w:vAlign w:val="center"/>
            <w:hideMark/>
          </w:tcPr>
          <w:p w14:paraId="61B6EE42"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94.4%</w:t>
            </w:r>
          </w:p>
        </w:tc>
        <w:tc>
          <w:tcPr>
            <w:tcW w:w="1173" w:type="dxa"/>
            <w:gridSpan w:val="2"/>
            <w:shd w:val="clear" w:color="auto" w:fill="auto"/>
            <w:noWrap/>
            <w:vAlign w:val="center"/>
            <w:hideMark/>
          </w:tcPr>
          <w:p w14:paraId="41DF3BFC"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93.0%</w:t>
            </w:r>
          </w:p>
        </w:tc>
        <w:tc>
          <w:tcPr>
            <w:tcW w:w="701" w:type="dxa"/>
            <w:shd w:val="clear" w:color="auto" w:fill="auto"/>
            <w:noWrap/>
            <w:vAlign w:val="center"/>
            <w:hideMark/>
          </w:tcPr>
          <w:p w14:paraId="2C0CFC81"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6.0%</w:t>
            </w:r>
          </w:p>
        </w:tc>
        <w:tc>
          <w:tcPr>
            <w:tcW w:w="984" w:type="dxa"/>
            <w:shd w:val="clear" w:color="auto" w:fill="auto"/>
            <w:noWrap/>
            <w:vAlign w:val="center"/>
            <w:hideMark/>
          </w:tcPr>
          <w:p w14:paraId="093F9F0F"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5.8%</w:t>
            </w:r>
          </w:p>
        </w:tc>
      </w:tr>
      <w:tr w:rsidR="00C07F34" w:rsidRPr="00965BDB" w14:paraId="01CB0762" w14:textId="77777777" w:rsidTr="00B845B7">
        <w:trPr>
          <w:gridAfter w:val="1"/>
          <w:wAfter w:w="28" w:type="dxa"/>
          <w:trHeight w:val="300"/>
        </w:trPr>
        <w:tc>
          <w:tcPr>
            <w:tcW w:w="1276" w:type="dxa"/>
            <w:shd w:val="clear" w:color="auto" w:fill="auto"/>
            <w:noWrap/>
            <w:vAlign w:val="center"/>
            <w:hideMark/>
          </w:tcPr>
          <w:p w14:paraId="0282668D" w14:textId="5AE76A48"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scale 1</w:t>
            </w:r>
            <w:r w:rsidR="00176481">
              <w:rPr>
                <w:color w:val="000000"/>
                <w:sz w:val="20"/>
                <w:szCs w:val="20"/>
                <w:lang w:val="en-US" w:eastAsia="de-DE"/>
              </w:rPr>
              <w:t>–</w:t>
            </w:r>
            <w:r w:rsidRPr="00965BDB">
              <w:rPr>
                <w:color w:val="000000"/>
                <w:sz w:val="20"/>
                <w:szCs w:val="20"/>
                <w:lang w:val="en-US" w:eastAsia="de-DE"/>
              </w:rPr>
              <w:t>5</w:t>
            </w:r>
          </w:p>
        </w:tc>
        <w:tc>
          <w:tcPr>
            <w:tcW w:w="1418" w:type="dxa"/>
            <w:shd w:val="clear" w:color="auto" w:fill="auto"/>
            <w:noWrap/>
            <w:vAlign w:val="center"/>
            <w:hideMark/>
          </w:tcPr>
          <w:p w14:paraId="5FA4E64B" w14:textId="77777777" w:rsidR="00C07F34" w:rsidRPr="00965BDB" w:rsidRDefault="00C07F34" w:rsidP="00DB32D0">
            <w:pPr>
              <w:spacing w:line="240" w:lineRule="auto"/>
              <w:jc w:val="both"/>
              <w:rPr>
                <w:color w:val="000000"/>
                <w:sz w:val="20"/>
                <w:szCs w:val="20"/>
                <w:lang w:val="en-US" w:eastAsia="de-DE"/>
              </w:rPr>
            </w:pPr>
            <w:r w:rsidRPr="00965BDB">
              <w:rPr>
                <w:color w:val="000000"/>
                <w:sz w:val="20"/>
                <w:szCs w:val="20"/>
                <w:lang w:val="en-US" w:eastAsia="de-DE"/>
              </w:rPr>
              <w:t>1.7 (0.8)</w:t>
            </w:r>
          </w:p>
        </w:tc>
        <w:tc>
          <w:tcPr>
            <w:tcW w:w="1417" w:type="dxa"/>
            <w:gridSpan w:val="2"/>
            <w:shd w:val="clear" w:color="auto" w:fill="auto"/>
            <w:noWrap/>
            <w:vAlign w:val="center"/>
            <w:hideMark/>
          </w:tcPr>
          <w:p w14:paraId="5423B87E"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2.0 (0.9)</w:t>
            </w:r>
          </w:p>
        </w:tc>
        <w:tc>
          <w:tcPr>
            <w:tcW w:w="1060" w:type="dxa"/>
            <w:gridSpan w:val="2"/>
            <w:shd w:val="clear" w:color="auto" w:fill="auto"/>
            <w:noWrap/>
            <w:vAlign w:val="center"/>
            <w:hideMark/>
          </w:tcPr>
          <w:p w14:paraId="7969A42B"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0.3</w:t>
            </w:r>
          </w:p>
        </w:tc>
        <w:tc>
          <w:tcPr>
            <w:tcW w:w="760" w:type="dxa"/>
            <w:shd w:val="clear" w:color="auto" w:fill="auto"/>
            <w:noWrap/>
            <w:vAlign w:val="center"/>
            <w:hideMark/>
          </w:tcPr>
          <w:p w14:paraId="64CC0320"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94.6%</w:t>
            </w:r>
          </w:p>
        </w:tc>
        <w:tc>
          <w:tcPr>
            <w:tcW w:w="1173" w:type="dxa"/>
            <w:gridSpan w:val="2"/>
            <w:shd w:val="clear" w:color="auto" w:fill="auto"/>
            <w:noWrap/>
            <w:vAlign w:val="center"/>
            <w:hideMark/>
          </w:tcPr>
          <w:p w14:paraId="01A0C60F" w14:textId="77777777" w:rsidR="00C07F34" w:rsidRPr="00965BDB" w:rsidRDefault="00C07F34" w:rsidP="00DB32D0">
            <w:pPr>
              <w:spacing w:line="240" w:lineRule="auto"/>
              <w:jc w:val="both"/>
              <w:rPr>
                <w:sz w:val="20"/>
                <w:szCs w:val="20"/>
                <w:lang w:val="en-US" w:eastAsia="de-DE"/>
              </w:rPr>
            </w:pPr>
            <w:r w:rsidRPr="00965BDB">
              <w:rPr>
                <w:sz w:val="20"/>
                <w:szCs w:val="20"/>
                <w:lang w:val="en-US" w:eastAsia="de-DE"/>
              </w:rPr>
              <w:t>87.1%</w:t>
            </w:r>
          </w:p>
        </w:tc>
        <w:tc>
          <w:tcPr>
            <w:tcW w:w="701" w:type="dxa"/>
            <w:shd w:val="clear" w:color="auto" w:fill="auto"/>
            <w:noWrap/>
            <w:vAlign w:val="center"/>
            <w:hideMark/>
          </w:tcPr>
          <w:p w14:paraId="0FDAE25A" w14:textId="77777777" w:rsidR="00C07F34" w:rsidRPr="00965BDB" w:rsidRDefault="00C07F34" w:rsidP="00DB32D0">
            <w:pPr>
              <w:spacing w:line="240" w:lineRule="auto"/>
              <w:jc w:val="both"/>
              <w:rPr>
                <w:color w:val="000000" w:themeColor="text1"/>
                <w:sz w:val="20"/>
                <w:szCs w:val="20"/>
                <w:lang w:val="en-US" w:eastAsia="de-DE"/>
              </w:rPr>
            </w:pPr>
            <w:r w:rsidRPr="00965BDB">
              <w:rPr>
                <w:color w:val="000000" w:themeColor="text1"/>
                <w:sz w:val="20"/>
                <w:szCs w:val="20"/>
                <w:lang w:val="en-US" w:eastAsia="de-DE"/>
              </w:rPr>
              <w:t>5.5%</w:t>
            </w:r>
          </w:p>
        </w:tc>
        <w:tc>
          <w:tcPr>
            <w:tcW w:w="984" w:type="dxa"/>
            <w:shd w:val="clear" w:color="auto" w:fill="auto"/>
            <w:noWrap/>
            <w:vAlign w:val="center"/>
            <w:hideMark/>
          </w:tcPr>
          <w:p w14:paraId="5B2A5350" w14:textId="77777777" w:rsidR="00C07F34" w:rsidRPr="00965BDB" w:rsidRDefault="00C07F34" w:rsidP="009A7469">
            <w:pPr>
              <w:spacing w:line="240" w:lineRule="auto"/>
              <w:rPr>
                <w:color w:val="000000" w:themeColor="text1"/>
                <w:sz w:val="20"/>
                <w:szCs w:val="20"/>
                <w:lang w:val="en-US" w:eastAsia="de-DE"/>
              </w:rPr>
            </w:pPr>
            <w:r w:rsidRPr="00965BDB">
              <w:rPr>
                <w:color w:val="000000" w:themeColor="text1"/>
                <w:sz w:val="20"/>
                <w:szCs w:val="20"/>
                <w:lang w:val="en-US" w:eastAsia="de-DE"/>
              </w:rPr>
              <w:t>5.9%</w:t>
            </w:r>
          </w:p>
        </w:tc>
      </w:tr>
    </w:tbl>
    <w:p w14:paraId="247910EF" w14:textId="7D36B9C8" w:rsidR="00C07F34" w:rsidRPr="00965BDB" w:rsidRDefault="00C07F34" w:rsidP="00DB32D0">
      <w:pPr>
        <w:rPr>
          <w:lang w:val="en-US"/>
        </w:rPr>
      </w:pPr>
    </w:p>
    <w:p w14:paraId="378217AE" w14:textId="14D348F4" w:rsidR="00C07F34" w:rsidRPr="00965BDB" w:rsidRDefault="00C07F34" w:rsidP="00DB32D0">
      <w:pPr>
        <w:rPr>
          <w:lang w:val="en-US"/>
        </w:rPr>
      </w:pPr>
    </w:p>
    <w:p w14:paraId="08A26AD9" w14:textId="77777777" w:rsidR="00C07F34" w:rsidRPr="00965BDB" w:rsidRDefault="00C07F34" w:rsidP="00DB32D0">
      <w:pPr>
        <w:rPr>
          <w:lang w:val="en-US"/>
        </w:rPr>
      </w:pPr>
    </w:p>
    <w:p w14:paraId="23CC17F3" w14:textId="17BB5F87" w:rsidR="00D91B11" w:rsidRPr="00965BDB" w:rsidRDefault="00D91B11" w:rsidP="009A7469">
      <w:pPr>
        <w:keepNext/>
        <w:outlineLvl w:val="0"/>
        <w:rPr>
          <w:b/>
          <w:bCs/>
          <w:lang w:val="en-US"/>
        </w:rPr>
      </w:pPr>
      <w:r w:rsidRPr="00965BDB">
        <w:rPr>
          <w:b/>
          <w:bCs/>
          <w:lang w:val="en-US"/>
        </w:rPr>
        <w:t>Figures</w:t>
      </w:r>
    </w:p>
    <w:p w14:paraId="4DD904C8" w14:textId="3D91470D" w:rsidR="004904EC" w:rsidRPr="00965BDB" w:rsidRDefault="004904EC" w:rsidP="00DB32D0">
      <w:pPr>
        <w:rPr>
          <w:lang w:val="en-US"/>
        </w:rPr>
      </w:pPr>
    </w:p>
    <w:p w14:paraId="0E9E174D" w14:textId="3DF7029D" w:rsidR="00E75990" w:rsidRPr="00965BDB" w:rsidRDefault="00C90C3E" w:rsidP="00DB32D0">
      <w:pPr>
        <w:keepNext/>
        <w:jc w:val="center"/>
        <w:rPr>
          <w:lang w:val="en-US"/>
        </w:rPr>
      </w:pPr>
      <w:r w:rsidRPr="00C90C3E">
        <w:rPr>
          <w:noProof/>
          <w:lang w:val="en-US"/>
        </w:rPr>
        <w:drawing>
          <wp:inline distT="0" distB="0" distL="0" distR="0" wp14:anchorId="482C0DFD" wp14:editId="5D216B4A">
            <wp:extent cx="3686689" cy="3410426"/>
            <wp:effectExtent l="0" t="0" r="0" b="0"/>
            <wp:docPr id="1" name="Grafik 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isch enthält.&#10;&#10;Automatisch generierte Beschreibung"/>
                    <pic:cNvPicPr/>
                  </pic:nvPicPr>
                  <pic:blipFill>
                    <a:blip r:embed="rId13"/>
                    <a:stretch>
                      <a:fillRect/>
                    </a:stretch>
                  </pic:blipFill>
                  <pic:spPr>
                    <a:xfrm>
                      <a:off x="0" y="0"/>
                      <a:ext cx="3686689" cy="3410426"/>
                    </a:xfrm>
                    <a:prstGeom prst="rect">
                      <a:avLst/>
                    </a:prstGeom>
                  </pic:spPr>
                </pic:pic>
              </a:graphicData>
            </a:graphic>
          </wp:inline>
        </w:drawing>
      </w:r>
    </w:p>
    <w:p w14:paraId="6F52CA3F" w14:textId="6FA60074" w:rsidR="00E75990" w:rsidRPr="00965BDB" w:rsidRDefault="00E75990" w:rsidP="00DB32D0">
      <w:pPr>
        <w:jc w:val="center"/>
        <w:rPr>
          <w:lang w:val="en-US"/>
        </w:rPr>
      </w:pPr>
      <w:r w:rsidRPr="00965BDB">
        <w:rPr>
          <w:lang w:val="en-US"/>
        </w:rPr>
        <w:t>Figure 1: The basic test procedure</w:t>
      </w:r>
    </w:p>
    <w:p w14:paraId="4E6C5AED" w14:textId="2DE90872" w:rsidR="00E75990" w:rsidRPr="00965BDB" w:rsidRDefault="00E75990" w:rsidP="00DB32D0">
      <w:pPr>
        <w:spacing w:line="240" w:lineRule="auto"/>
        <w:rPr>
          <w:lang w:val="en-US"/>
        </w:rPr>
      </w:pPr>
      <w:r w:rsidRPr="00965BDB">
        <w:rPr>
          <w:lang w:val="en-US"/>
        </w:rPr>
        <w:br w:type="page"/>
      </w:r>
    </w:p>
    <w:p w14:paraId="5FF5C8CA" w14:textId="77777777" w:rsidR="00E75990" w:rsidRPr="00965BDB" w:rsidRDefault="00E75990" w:rsidP="00DB32D0">
      <w:pPr>
        <w:jc w:val="center"/>
        <w:rPr>
          <w:lang w:val="en-US"/>
        </w:rPr>
      </w:pPr>
    </w:p>
    <w:p w14:paraId="61CDEBC4" w14:textId="77777777" w:rsidR="00E75990" w:rsidRPr="00965BDB" w:rsidRDefault="00E75990" w:rsidP="00DB32D0">
      <w:pPr>
        <w:jc w:val="center"/>
        <w:rPr>
          <w:lang w:val="en-US"/>
        </w:rPr>
      </w:pPr>
      <w:r w:rsidRPr="00965BDB">
        <w:rPr>
          <w:noProof/>
          <w:lang w:val="en-US"/>
        </w:rPr>
        <w:drawing>
          <wp:inline distT="0" distB="0" distL="0" distR="0" wp14:anchorId="47FB5321" wp14:editId="5AA0B852">
            <wp:extent cx="4743450" cy="26479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4">
                      <a:extLst>
                        <a:ext uri="{28A0092B-C50C-407E-A947-70E740481C1C}">
                          <a14:useLocalDpi xmlns:a14="http://schemas.microsoft.com/office/drawing/2010/main" val="0"/>
                        </a:ext>
                      </a:extLst>
                    </a:blip>
                    <a:srcRect t="6397"/>
                    <a:stretch/>
                  </pic:blipFill>
                  <pic:spPr bwMode="auto">
                    <a:xfrm>
                      <a:off x="0" y="0"/>
                      <a:ext cx="4744112" cy="2648320"/>
                    </a:xfrm>
                    <a:prstGeom prst="rect">
                      <a:avLst/>
                    </a:prstGeom>
                    <a:ln>
                      <a:noFill/>
                    </a:ln>
                    <a:extLst>
                      <a:ext uri="{53640926-AAD7-44D8-BBD7-CCE9431645EC}">
                        <a14:shadowObscured xmlns:a14="http://schemas.microsoft.com/office/drawing/2010/main"/>
                      </a:ext>
                    </a:extLst>
                  </pic:spPr>
                </pic:pic>
              </a:graphicData>
            </a:graphic>
          </wp:inline>
        </w:drawing>
      </w:r>
    </w:p>
    <w:p w14:paraId="006E35BB" w14:textId="77777777" w:rsidR="00E75990" w:rsidRPr="00965BDB" w:rsidRDefault="00E75990" w:rsidP="00DB32D0">
      <w:pPr>
        <w:jc w:val="center"/>
        <w:rPr>
          <w:lang w:val="en-US"/>
        </w:rPr>
      </w:pPr>
      <w:r w:rsidRPr="00965BDB">
        <w:rPr>
          <w:lang w:val="en-US"/>
        </w:rPr>
        <w:t>Figure 2: Results of the sample size calculation</w:t>
      </w:r>
    </w:p>
    <w:p w14:paraId="5035C57C" w14:textId="2B54444E" w:rsidR="00E75990" w:rsidRPr="00965BDB" w:rsidRDefault="005021EA" w:rsidP="00DB32D0">
      <w:pPr>
        <w:jc w:val="center"/>
        <w:rPr>
          <w:lang w:val="en-US"/>
        </w:rPr>
      </w:pPr>
      <w:r w:rsidRPr="005021EA">
        <w:rPr>
          <w:noProof/>
          <w:lang w:val="en-US"/>
        </w:rPr>
        <w:lastRenderedPageBreak/>
        <w:drawing>
          <wp:inline distT="0" distB="0" distL="0" distR="0" wp14:anchorId="5ACD3CAD" wp14:editId="6577590E">
            <wp:extent cx="5396865" cy="8058150"/>
            <wp:effectExtent l="0" t="0" r="0" b="0"/>
            <wp:docPr id="2" name="Grafik 2" descr="Ein Bild, das Text, Qui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Quittung enthält.&#10;&#10;Automatisch generierte Beschreibung"/>
                    <pic:cNvPicPr/>
                  </pic:nvPicPr>
                  <pic:blipFill>
                    <a:blip r:embed="rId15"/>
                    <a:stretch>
                      <a:fillRect/>
                    </a:stretch>
                  </pic:blipFill>
                  <pic:spPr>
                    <a:xfrm>
                      <a:off x="0" y="0"/>
                      <a:ext cx="5396865" cy="8058150"/>
                    </a:xfrm>
                    <a:prstGeom prst="rect">
                      <a:avLst/>
                    </a:prstGeom>
                  </pic:spPr>
                </pic:pic>
              </a:graphicData>
            </a:graphic>
          </wp:inline>
        </w:drawing>
      </w:r>
    </w:p>
    <w:p w14:paraId="4143141F" w14:textId="77777777" w:rsidR="00E75990" w:rsidRPr="00965BDB" w:rsidRDefault="00E75990" w:rsidP="00DB32D0">
      <w:pPr>
        <w:jc w:val="center"/>
        <w:rPr>
          <w:lang w:val="en-US"/>
        </w:rPr>
      </w:pPr>
      <w:r w:rsidRPr="00965BDB">
        <w:rPr>
          <w:lang w:val="en-US"/>
        </w:rPr>
        <w:t>Figure 3: Overview of the simulations</w:t>
      </w:r>
    </w:p>
    <w:p w14:paraId="3F011E19" w14:textId="77777777" w:rsidR="00E75990" w:rsidRPr="00965BDB" w:rsidRDefault="00E75990" w:rsidP="00DB32D0">
      <w:pPr>
        <w:jc w:val="center"/>
        <w:rPr>
          <w:lang w:val="en-US"/>
        </w:rPr>
      </w:pPr>
      <w:r w:rsidRPr="00965BDB">
        <w:rPr>
          <w:noProof/>
          <w:lang w:val="en-US"/>
        </w:rPr>
        <w:lastRenderedPageBreak/>
        <w:drawing>
          <wp:inline distT="0" distB="0" distL="0" distR="0" wp14:anchorId="56459976" wp14:editId="7A04A986">
            <wp:extent cx="4334480" cy="4429743"/>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a:extLst>
                        <a:ext uri="{28A0092B-C50C-407E-A947-70E740481C1C}">
                          <a14:useLocalDpi xmlns:a14="http://schemas.microsoft.com/office/drawing/2010/main" val="0"/>
                        </a:ext>
                      </a:extLst>
                    </a:blip>
                    <a:stretch>
                      <a:fillRect/>
                    </a:stretch>
                  </pic:blipFill>
                  <pic:spPr>
                    <a:xfrm>
                      <a:off x="0" y="0"/>
                      <a:ext cx="4334480" cy="4429743"/>
                    </a:xfrm>
                    <a:prstGeom prst="rect">
                      <a:avLst/>
                    </a:prstGeom>
                  </pic:spPr>
                </pic:pic>
              </a:graphicData>
            </a:graphic>
          </wp:inline>
        </w:drawing>
      </w:r>
    </w:p>
    <w:p w14:paraId="399633EE" w14:textId="7AE526BE" w:rsidR="00E75990" w:rsidRPr="00965BDB" w:rsidRDefault="00E75990" w:rsidP="00DB32D0">
      <w:pPr>
        <w:jc w:val="center"/>
        <w:rPr>
          <w:lang w:val="en-US"/>
        </w:rPr>
      </w:pPr>
      <w:r w:rsidRPr="00965BDB">
        <w:rPr>
          <w:lang w:val="en-US"/>
        </w:rPr>
        <w:t>Figure 4: Population</w:t>
      </w:r>
      <w:r w:rsidR="001D661C">
        <w:rPr>
          <w:lang w:val="en-US"/>
        </w:rPr>
        <w:t>s</w:t>
      </w:r>
      <w:r w:rsidRPr="00965BDB">
        <w:rPr>
          <w:lang w:val="en-US"/>
        </w:rPr>
        <w:t xml:space="preserve"> 1</w:t>
      </w:r>
      <w:r w:rsidR="001D661C">
        <w:rPr>
          <w:lang w:val="en-US"/>
        </w:rPr>
        <w:t xml:space="preserve"> and </w:t>
      </w:r>
      <w:r w:rsidRPr="00965BDB">
        <w:rPr>
          <w:lang w:val="en-US"/>
        </w:rPr>
        <w:t>2 and the distribution of the sample means.</w:t>
      </w:r>
    </w:p>
    <w:p w14:paraId="587661F8" w14:textId="509939AA" w:rsidR="00E75990" w:rsidRPr="00965BDB" w:rsidRDefault="00E75990" w:rsidP="00DB32D0">
      <w:pPr>
        <w:spacing w:line="240" w:lineRule="auto"/>
        <w:rPr>
          <w:lang w:val="en-US"/>
        </w:rPr>
      </w:pPr>
      <w:r w:rsidRPr="00965BDB">
        <w:rPr>
          <w:lang w:val="en-US"/>
        </w:rPr>
        <w:br w:type="page"/>
      </w:r>
    </w:p>
    <w:p w14:paraId="21460F0B" w14:textId="77777777" w:rsidR="00E75990" w:rsidRPr="00965BDB" w:rsidRDefault="00E75990" w:rsidP="00DB32D0">
      <w:pPr>
        <w:rPr>
          <w:lang w:val="en-US"/>
        </w:rPr>
      </w:pPr>
    </w:p>
    <w:p w14:paraId="5F9ADBDD" w14:textId="77777777" w:rsidR="00E75990" w:rsidRPr="00965BDB" w:rsidRDefault="00E75990" w:rsidP="00DB32D0">
      <w:pPr>
        <w:jc w:val="center"/>
        <w:rPr>
          <w:lang w:val="en-US"/>
        </w:rPr>
      </w:pPr>
      <w:r w:rsidRPr="00965BDB">
        <w:rPr>
          <w:noProof/>
          <w:lang w:val="en-US"/>
        </w:rPr>
        <w:drawing>
          <wp:inline distT="0" distB="0" distL="0" distR="0" wp14:anchorId="45BFCA42" wp14:editId="1FE86CB2">
            <wp:extent cx="5396865" cy="28009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5396865" cy="2800985"/>
                    </a:xfrm>
                    <a:prstGeom prst="rect">
                      <a:avLst/>
                    </a:prstGeom>
                  </pic:spPr>
                </pic:pic>
              </a:graphicData>
            </a:graphic>
          </wp:inline>
        </w:drawing>
      </w:r>
    </w:p>
    <w:p w14:paraId="53D1BE14" w14:textId="6A92BD8D" w:rsidR="00E75990" w:rsidRPr="00965BDB" w:rsidRDefault="00E75990" w:rsidP="00DB32D0">
      <w:pPr>
        <w:jc w:val="center"/>
        <w:rPr>
          <w:lang w:val="en-US"/>
        </w:rPr>
      </w:pPr>
      <w:r w:rsidRPr="00965BDB">
        <w:rPr>
          <w:lang w:val="en-US"/>
        </w:rPr>
        <w:t>Figure 5: Density of populations</w:t>
      </w:r>
      <w:r w:rsidR="00176481">
        <w:rPr>
          <w:lang w:val="en-US"/>
        </w:rPr>
        <w:t>—</w:t>
      </w:r>
      <w:r w:rsidRPr="00965BDB">
        <w:rPr>
          <w:lang w:val="en-US"/>
        </w:rPr>
        <w:t>normal</w:t>
      </w:r>
      <w:r w:rsidR="00264C82">
        <w:rPr>
          <w:lang w:val="en-US"/>
        </w:rPr>
        <w:t>ly</w:t>
      </w:r>
      <w:r w:rsidRPr="00965BDB">
        <w:rPr>
          <w:lang w:val="en-US"/>
        </w:rPr>
        <w:t xml:space="preserve"> distributed (</w:t>
      </w:r>
      <w:r w:rsidR="001D661C">
        <w:rPr>
          <w:lang w:val="en-US"/>
        </w:rPr>
        <w:t>s</w:t>
      </w:r>
      <w:r w:rsidRPr="00965BDB">
        <w:rPr>
          <w:lang w:val="en-US"/>
        </w:rPr>
        <w:t>cales: 1</w:t>
      </w:r>
      <w:r w:rsidR="00176481">
        <w:rPr>
          <w:lang w:val="en-US"/>
        </w:rPr>
        <w:t>–</w:t>
      </w:r>
      <w:r w:rsidRPr="00965BDB">
        <w:rPr>
          <w:lang w:val="en-US"/>
        </w:rPr>
        <w:t>100</w:t>
      </w:r>
      <w:r w:rsidR="001D661C">
        <w:rPr>
          <w:lang w:val="en-US"/>
        </w:rPr>
        <w:t>,</w:t>
      </w:r>
      <w:r w:rsidRPr="00965BDB">
        <w:rPr>
          <w:lang w:val="en-US"/>
        </w:rPr>
        <w:t xml:space="preserve"> 1</w:t>
      </w:r>
      <w:r w:rsidR="00176481">
        <w:rPr>
          <w:lang w:val="en-US"/>
        </w:rPr>
        <w:t>–</w:t>
      </w:r>
      <w:r w:rsidRPr="00965BDB">
        <w:rPr>
          <w:lang w:val="en-US"/>
        </w:rPr>
        <w:t>7</w:t>
      </w:r>
      <w:r w:rsidR="001D661C">
        <w:rPr>
          <w:lang w:val="en-US"/>
        </w:rPr>
        <w:t>,</w:t>
      </w:r>
      <w:r w:rsidRPr="00965BDB">
        <w:rPr>
          <w:lang w:val="en-US"/>
        </w:rPr>
        <w:t xml:space="preserve"> 1</w:t>
      </w:r>
      <w:r w:rsidR="00176481">
        <w:rPr>
          <w:lang w:val="en-US"/>
        </w:rPr>
        <w:t>–</w:t>
      </w:r>
      <w:r w:rsidRPr="00965BDB">
        <w:rPr>
          <w:lang w:val="en-US"/>
        </w:rPr>
        <w:t>5)</w:t>
      </w:r>
    </w:p>
    <w:p w14:paraId="699F3C57" w14:textId="1CDAC09B" w:rsidR="00E75990" w:rsidRPr="00965BDB" w:rsidRDefault="00E75990" w:rsidP="00DB32D0">
      <w:pPr>
        <w:spacing w:line="240" w:lineRule="auto"/>
        <w:rPr>
          <w:lang w:val="en-US"/>
        </w:rPr>
      </w:pPr>
      <w:r w:rsidRPr="00965BDB">
        <w:rPr>
          <w:lang w:val="en-US"/>
        </w:rPr>
        <w:br w:type="page"/>
      </w:r>
    </w:p>
    <w:p w14:paraId="0F1BBC79" w14:textId="77777777" w:rsidR="00E75990" w:rsidRPr="00965BDB" w:rsidRDefault="00E75990" w:rsidP="00DB32D0">
      <w:pPr>
        <w:rPr>
          <w:lang w:val="en-US"/>
        </w:rPr>
      </w:pPr>
    </w:p>
    <w:p w14:paraId="095F8894" w14:textId="59B3A578" w:rsidR="00E75990" w:rsidRPr="00965BDB" w:rsidRDefault="00E75990" w:rsidP="00DB32D0">
      <w:pPr>
        <w:jc w:val="center"/>
        <w:rPr>
          <w:lang w:val="en-US"/>
        </w:rPr>
      </w:pPr>
      <w:r w:rsidRPr="00965BDB">
        <w:rPr>
          <w:noProof/>
          <w:lang w:val="en-US"/>
        </w:rPr>
        <w:drawing>
          <wp:inline distT="0" distB="0" distL="0" distR="0" wp14:anchorId="00455E43" wp14:editId="0821FD78">
            <wp:extent cx="5396865" cy="2818765"/>
            <wp:effectExtent l="0" t="0" r="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8">
                      <a:extLst>
                        <a:ext uri="{28A0092B-C50C-407E-A947-70E740481C1C}">
                          <a14:useLocalDpi xmlns:a14="http://schemas.microsoft.com/office/drawing/2010/main" val="0"/>
                        </a:ext>
                      </a:extLst>
                    </a:blip>
                    <a:stretch>
                      <a:fillRect/>
                    </a:stretch>
                  </pic:blipFill>
                  <pic:spPr>
                    <a:xfrm>
                      <a:off x="0" y="0"/>
                      <a:ext cx="5396865" cy="2818765"/>
                    </a:xfrm>
                    <a:prstGeom prst="rect">
                      <a:avLst/>
                    </a:prstGeom>
                  </pic:spPr>
                </pic:pic>
              </a:graphicData>
            </a:graphic>
          </wp:inline>
        </w:drawing>
      </w:r>
    </w:p>
    <w:p w14:paraId="3769C48C" w14:textId="74C3DFAB" w:rsidR="00E75990" w:rsidRPr="00965BDB" w:rsidRDefault="00E75990" w:rsidP="00DB32D0">
      <w:pPr>
        <w:jc w:val="center"/>
        <w:rPr>
          <w:lang w:val="en-US"/>
        </w:rPr>
      </w:pPr>
      <w:r w:rsidRPr="00965BDB">
        <w:rPr>
          <w:lang w:val="en-US"/>
        </w:rPr>
        <w:t>Figure 6: Density of populations</w:t>
      </w:r>
      <w:r w:rsidR="00176481">
        <w:rPr>
          <w:lang w:val="en-US"/>
        </w:rPr>
        <w:t>—</w:t>
      </w:r>
      <w:r w:rsidRPr="00965BDB">
        <w:rPr>
          <w:lang w:val="en-US"/>
        </w:rPr>
        <w:t>skewed (</w:t>
      </w:r>
      <w:r w:rsidR="00182F78">
        <w:rPr>
          <w:lang w:val="en-US"/>
        </w:rPr>
        <w:t>s</w:t>
      </w:r>
      <w:r w:rsidRPr="00965BDB">
        <w:rPr>
          <w:lang w:val="en-US"/>
        </w:rPr>
        <w:t>cales: 1</w:t>
      </w:r>
      <w:r w:rsidR="00176481">
        <w:rPr>
          <w:lang w:val="en-US"/>
        </w:rPr>
        <w:t>–</w:t>
      </w:r>
      <w:r w:rsidRPr="00965BDB">
        <w:rPr>
          <w:lang w:val="en-US"/>
        </w:rPr>
        <w:t>100</w:t>
      </w:r>
      <w:r w:rsidR="00182F78">
        <w:rPr>
          <w:lang w:val="en-US"/>
        </w:rPr>
        <w:t>,</w:t>
      </w:r>
      <w:r w:rsidRPr="00965BDB">
        <w:rPr>
          <w:lang w:val="en-US"/>
        </w:rPr>
        <w:t xml:space="preserve"> 1</w:t>
      </w:r>
      <w:r w:rsidR="00176481">
        <w:rPr>
          <w:lang w:val="en-US"/>
        </w:rPr>
        <w:t>–</w:t>
      </w:r>
      <w:r w:rsidRPr="00965BDB">
        <w:rPr>
          <w:lang w:val="en-US"/>
        </w:rPr>
        <w:t>7</w:t>
      </w:r>
      <w:r w:rsidR="00182F78">
        <w:rPr>
          <w:lang w:val="en-US"/>
        </w:rPr>
        <w:t>,</w:t>
      </w:r>
      <w:r w:rsidRPr="00965BDB">
        <w:rPr>
          <w:lang w:val="en-US"/>
        </w:rPr>
        <w:t xml:space="preserve"> 1</w:t>
      </w:r>
      <w:r w:rsidR="00176481">
        <w:rPr>
          <w:lang w:val="en-US"/>
        </w:rPr>
        <w:t>–</w:t>
      </w:r>
      <w:r w:rsidRPr="00965BDB">
        <w:rPr>
          <w:lang w:val="en-US"/>
        </w:rPr>
        <w:t>5)</w:t>
      </w:r>
    </w:p>
    <w:p w14:paraId="5BDFCB14" w14:textId="77777777" w:rsidR="00E75990" w:rsidRPr="00965BDB" w:rsidRDefault="00E75990" w:rsidP="00DB32D0">
      <w:pPr>
        <w:jc w:val="center"/>
        <w:rPr>
          <w:lang w:val="en-US"/>
        </w:rPr>
      </w:pPr>
    </w:p>
    <w:sectPr w:rsidR="00E75990" w:rsidRPr="00965BDB" w:rsidSect="00074B81">
      <w:headerReference w:type="even" r:id="rId19"/>
      <w:headerReference w:type="default" r:id="rId20"/>
      <w:footerReference w:type="even" r:id="rId21"/>
      <w:footerReference w:type="default" r:id="rId22"/>
      <w:headerReference w:type="first" r:id="rId23"/>
      <w:footerReference w:type="first" r:id="rId24"/>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2E35D" w14:textId="77777777" w:rsidR="00061B71" w:rsidRDefault="00061B71" w:rsidP="00AF2C92">
      <w:r>
        <w:separator/>
      </w:r>
    </w:p>
  </w:endnote>
  <w:endnote w:type="continuationSeparator" w:id="0">
    <w:p w14:paraId="72243E6F" w14:textId="77777777" w:rsidR="00061B71" w:rsidRDefault="00061B71"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213D" w14:textId="77777777" w:rsidR="002211DD" w:rsidRDefault="002211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08361" w14:textId="77777777" w:rsidR="002211DD" w:rsidRDefault="002211D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4315" w14:textId="77777777" w:rsidR="002211DD" w:rsidRDefault="002211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9A8C2" w14:textId="77777777" w:rsidR="00061B71" w:rsidRDefault="00061B71" w:rsidP="00AF2C92">
      <w:r>
        <w:separator/>
      </w:r>
    </w:p>
  </w:footnote>
  <w:footnote w:type="continuationSeparator" w:id="0">
    <w:p w14:paraId="4DDCA98A" w14:textId="77777777" w:rsidR="00061B71" w:rsidRDefault="00061B71"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0952" w14:textId="77777777" w:rsidR="002211DD" w:rsidRDefault="002211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DBC70" w14:textId="77777777" w:rsidR="002211DD" w:rsidRDefault="002211D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C93E" w14:textId="77777777" w:rsidR="002211DD" w:rsidRDefault="002211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64594406">
    <w:abstractNumId w:val="15"/>
  </w:num>
  <w:num w:numId="2" w16cid:durableId="2033265552">
    <w:abstractNumId w:val="19"/>
  </w:num>
  <w:num w:numId="3" w16cid:durableId="791292969">
    <w:abstractNumId w:val="1"/>
  </w:num>
  <w:num w:numId="4" w16cid:durableId="1559170241">
    <w:abstractNumId w:val="2"/>
  </w:num>
  <w:num w:numId="5" w16cid:durableId="1827936356">
    <w:abstractNumId w:val="3"/>
  </w:num>
  <w:num w:numId="6" w16cid:durableId="1010064158">
    <w:abstractNumId w:val="4"/>
  </w:num>
  <w:num w:numId="7" w16cid:durableId="2120104544">
    <w:abstractNumId w:val="9"/>
  </w:num>
  <w:num w:numId="8" w16cid:durableId="2081055319">
    <w:abstractNumId w:val="5"/>
  </w:num>
  <w:num w:numId="9" w16cid:durableId="452554056">
    <w:abstractNumId w:val="7"/>
  </w:num>
  <w:num w:numId="10" w16cid:durableId="309989868">
    <w:abstractNumId w:val="6"/>
  </w:num>
  <w:num w:numId="11" w16cid:durableId="1460758238">
    <w:abstractNumId w:val="10"/>
  </w:num>
  <w:num w:numId="12" w16cid:durableId="894851604">
    <w:abstractNumId w:val="8"/>
  </w:num>
  <w:num w:numId="13" w16cid:durableId="1568496526">
    <w:abstractNumId w:val="17"/>
  </w:num>
  <w:num w:numId="14" w16cid:durableId="1417240900">
    <w:abstractNumId w:val="20"/>
  </w:num>
  <w:num w:numId="15" w16cid:durableId="1990478585">
    <w:abstractNumId w:val="14"/>
  </w:num>
  <w:num w:numId="16" w16cid:durableId="1530601201">
    <w:abstractNumId w:val="16"/>
  </w:num>
  <w:num w:numId="17" w16cid:durableId="1333339157">
    <w:abstractNumId w:val="11"/>
  </w:num>
  <w:num w:numId="18" w16cid:durableId="980110563">
    <w:abstractNumId w:val="0"/>
  </w:num>
  <w:num w:numId="19" w16cid:durableId="307050415">
    <w:abstractNumId w:val="12"/>
  </w:num>
  <w:num w:numId="20" w16cid:durableId="408966314">
    <w:abstractNumId w:val="20"/>
  </w:num>
  <w:num w:numId="21" w16cid:durableId="1784685596">
    <w:abstractNumId w:val="20"/>
  </w:num>
  <w:num w:numId="22" w16cid:durableId="764109434">
    <w:abstractNumId w:val="20"/>
  </w:num>
  <w:num w:numId="23" w16cid:durableId="474687260">
    <w:abstractNumId w:val="20"/>
  </w:num>
  <w:num w:numId="24" w16cid:durableId="497773490">
    <w:abstractNumId w:val="17"/>
  </w:num>
  <w:num w:numId="25" w16cid:durableId="1172112583">
    <w:abstractNumId w:val="18"/>
  </w:num>
  <w:num w:numId="26" w16cid:durableId="429396429">
    <w:abstractNumId w:val="21"/>
  </w:num>
  <w:num w:numId="27" w16cid:durableId="454373742">
    <w:abstractNumId w:val="22"/>
  </w:num>
  <w:num w:numId="28" w16cid:durableId="2036074016">
    <w:abstractNumId w:val="20"/>
  </w:num>
  <w:num w:numId="29" w16cid:durableId="932083837">
    <w:abstractNumId w:val="13"/>
  </w:num>
  <w:num w:numId="30" w16cid:durableId="57751536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04A"/>
    <w:rsid w:val="00001899"/>
    <w:rsid w:val="000049AD"/>
    <w:rsid w:val="0000681B"/>
    <w:rsid w:val="000133C0"/>
    <w:rsid w:val="00014C4E"/>
    <w:rsid w:val="00017107"/>
    <w:rsid w:val="000202E2"/>
    <w:rsid w:val="00022441"/>
    <w:rsid w:val="0002261E"/>
    <w:rsid w:val="00024839"/>
    <w:rsid w:val="00026871"/>
    <w:rsid w:val="00037A98"/>
    <w:rsid w:val="000427FB"/>
    <w:rsid w:val="0004455E"/>
    <w:rsid w:val="00047CB5"/>
    <w:rsid w:val="00051FAA"/>
    <w:rsid w:val="000572A9"/>
    <w:rsid w:val="00061325"/>
    <w:rsid w:val="00061B71"/>
    <w:rsid w:val="000733AC"/>
    <w:rsid w:val="00074B81"/>
    <w:rsid w:val="00074D22"/>
    <w:rsid w:val="00075081"/>
    <w:rsid w:val="0007528A"/>
    <w:rsid w:val="000811AB"/>
    <w:rsid w:val="00081978"/>
    <w:rsid w:val="00083C5F"/>
    <w:rsid w:val="00084EE9"/>
    <w:rsid w:val="00085BCD"/>
    <w:rsid w:val="0009172C"/>
    <w:rsid w:val="000930EC"/>
    <w:rsid w:val="00095E61"/>
    <w:rsid w:val="000966C1"/>
    <w:rsid w:val="000970AC"/>
    <w:rsid w:val="000A1167"/>
    <w:rsid w:val="000A1667"/>
    <w:rsid w:val="000A4428"/>
    <w:rsid w:val="000A6D40"/>
    <w:rsid w:val="000A7BC3"/>
    <w:rsid w:val="000B1661"/>
    <w:rsid w:val="000B1F0B"/>
    <w:rsid w:val="000B2E88"/>
    <w:rsid w:val="000B4603"/>
    <w:rsid w:val="000C09BE"/>
    <w:rsid w:val="000C1380"/>
    <w:rsid w:val="000C2C5A"/>
    <w:rsid w:val="000C554F"/>
    <w:rsid w:val="000D0DC5"/>
    <w:rsid w:val="000D15FF"/>
    <w:rsid w:val="000D1EAE"/>
    <w:rsid w:val="000D28DF"/>
    <w:rsid w:val="000D488B"/>
    <w:rsid w:val="000D68DF"/>
    <w:rsid w:val="000E138D"/>
    <w:rsid w:val="000E187A"/>
    <w:rsid w:val="000E2D61"/>
    <w:rsid w:val="000E450E"/>
    <w:rsid w:val="000E6259"/>
    <w:rsid w:val="000F4677"/>
    <w:rsid w:val="000F5BE0"/>
    <w:rsid w:val="000F6DB0"/>
    <w:rsid w:val="00100587"/>
    <w:rsid w:val="0010284E"/>
    <w:rsid w:val="00103122"/>
    <w:rsid w:val="0010336A"/>
    <w:rsid w:val="0010337A"/>
    <w:rsid w:val="001050F1"/>
    <w:rsid w:val="00105AEA"/>
    <w:rsid w:val="00106DAF"/>
    <w:rsid w:val="0011052F"/>
    <w:rsid w:val="00114ABE"/>
    <w:rsid w:val="00116023"/>
    <w:rsid w:val="00134A51"/>
    <w:rsid w:val="00140727"/>
    <w:rsid w:val="00160628"/>
    <w:rsid w:val="00161344"/>
    <w:rsid w:val="00162195"/>
    <w:rsid w:val="0016322A"/>
    <w:rsid w:val="00165A21"/>
    <w:rsid w:val="001705CE"/>
    <w:rsid w:val="00176481"/>
    <w:rsid w:val="0017714B"/>
    <w:rsid w:val="001804DF"/>
    <w:rsid w:val="00181BDC"/>
    <w:rsid w:val="00181DB0"/>
    <w:rsid w:val="001829E3"/>
    <w:rsid w:val="00182F78"/>
    <w:rsid w:val="001924C0"/>
    <w:rsid w:val="00196508"/>
    <w:rsid w:val="0019731E"/>
    <w:rsid w:val="001A09FE"/>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61C"/>
    <w:rsid w:val="001D6857"/>
    <w:rsid w:val="001E03F1"/>
    <w:rsid w:val="001E0572"/>
    <w:rsid w:val="001E0A67"/>
    <w:rsid w:val="001E1028"/>
    <w:rsid w:val="001E14E2"/>
    <w:rsid w:val="001E6302"/>
    <w:rsid w:val="001E7DCB"/>
    <w:rsid w:val="001F2391"/>
    <w:rsid w:val="001F3411"/>
    <w:rsid w:val="001F4287"/>
    <w:rsid w:val="001F4DBA"/>
    <w:rsid w:val="0020415E"/>
    <w:rsid w:val="00204FF4"/>
    <w:rsid w:val="0021056E"/>
    <w:rsid w:val="0021075D"/>
    <w:rsid w:val="00211484"/>
    <w:rsid w:val="0021165A"/>
    <w:rsid w:val="00211BC9"/>
    <w:rsid w:val="00212395"/>
    <w:rsid w:val="0021620C"/>
    <w:rsid w:val="00216E78"/>
    <w:rsid w:val="00217275"/>
    <w:rsid w:val="00220921"/>
    <w:rsid w:val="002211DD"/>
    <w:rsid w:val="00230165"/>
    <w:rsid w:val="00234D6A"/>
    <w:rsid w:val="00236F4B"/>
    <w:rsid w:val="00242B0D"/>
    <w:rsid w:val="002467C6"/>
    <w:rsid w:val="0024692A"/>
    <w:rsid w:val="00252BBA"/>
    <w:rsid w:val="00253123"/>
    <w:rsid w:val="00260580"/>
    <w:rsid w:val="00264001"/>
    <w:rsid w:val="00264C82"/>
    <w:rsid w:val="00265574"/>
    <w:rsid w:val="00266354"/>
    <w:rsid w:val="00267A18"/>
    <w:rsid w:val="002711DF"/>
    <w:rsid w:val="0027271A"/>
    <w:rsid w:val="00273462"/>
    <w:rsid w:val="0027395B"/>
    <w:rsid w:val="00275854"/>
    <w:rsid w:val="0028070D"/>
    <w:rsid w:val="00283B41"/>
    <w:rsid w:val="00285F28"/>
    <w:rsid w:val="00286398"/>
    <w:rsid w:val="002A3C42"/>
    <w:rsid w:val="002A5D75"/>
    <w:rsid w:val="002B1B1A"/>
    <w:rsid w:val="002B248C"/>
    <w:rsid w:val="002B7228"/>
    <w:rsid w:val="002C4B0D"/>
    <w:rsid w:val="002C53EE"/>
    <w:rsid w:val="002D24F7"/>
    <w:rsid w:val="002D2799"/>
    <w:rsid w:val="002D2CD7"/>
    <w:rsid w:val="002D3440"/>
    <w:rsid w:val="002D4DDC"/>
    <w:rsid w:val="002D4F75"/>
    <w:rsid w:val="002D6493"/>
    <w:rsid w:val="002D7AB6"/>
    <w:rsid w:val="002E06D0"/>
    <w:rsid w:val="002E3C27"/>
    <w:rsid w:val="002E403A"/>
    <w:rsid w:val="002E7F3A"/>
    <w:rsid w:val="002F4EDB"/>
    <w:rsid w:val="002F6054"/>
    <w:rsid w:val="00304296"/>
    <w:rsid w:val="00310AD7"/>
    <w:rsid w:val="00310E13"/>
    <w:rsid w:val="00315713"/>
    <w:rsid w:val="0031686C"/>
    <w:rsid w:val="00316FE0"/>
    <w:rsid w:val="003204D2"/>
    <w:rsid w:val="003239BE"/>
    <w:rsid w:val="0032451F"/>
    <w:rsid w:val="00324D73"/>
    <w:rsid w:val="0032605E"/>
    <w:rsid w:val="003275D1"/>
    <w:rsid w:val="00330B2A"/>
    <w:rsid w:val="00331E17"/>
    <w:rsid w:val="00333063"/>
    <w:rsid w:val="003408E3"/>
    <w:rsid w:val="00343480"/>
    <w:rsid w:val="00345E89"/>
    <w:rsid w:val="0034704A"/>
    <w:rsid w:val="003522A1"/>
    <w:rsid w:val="0035254B"/>
    <w:rsid w:val="00353555"/>
    <w:rsid w:val="00354C8B"/>
    <w:rsid w:val="003565D4"/>
    <w:rsid w:val="003607FB"/>
    <w:rsid w:val="00360FD5"/>
    <w:rsid w:val="0036340D"/>
    <w:rsid w:val="003634A5"/>
    <w:rsid w:val="00366868"/>
    <w:rsid w:val="00367506"/>
    <w:rsid w:val="00370085"/>
    <w:rsid w:val="00373FBA"/>
    <w:rsid w:val="003744A7"/>
    <w:rsid w:val="00376235"/>
    <w:rsid w:val="0038047A"/>
    <w:rsid w:val="00381FB6"/>
    <w:rsid w:val="003836D3"/>
    <w:rsid w:val="00383A52"/>
    <w:rsid w:val="0038415A"/>
    <w:rsid w:val="00391652"/>
    <w:rsid w:val="003918C5"/>
    <w:rsid w:val="0039507F"/>
    <w:rsid w:val="003A1260"/>
    <w:rsid w:val="003A295F"/>
    <w:rsid w:val="003A41DD"/>
    <w:rsid w:val="003A7033"/>
    <w:rsid w:val="003B47FE"/>
    <w:rsid w:val="003B5673"/>
    <w:rsid w:val="003B6287"/>
    <w:rsid w:val="003B62C9"/>
    <w:rsid w:val="003C49BC"/>
    <w:rsid w:val="003C7176"/>
    <w:rsid w:val="003D0929"/>
    <w:rsid w:val="003D4729"/>
    <w:rsid w:val="003D7DD6"/>
    <w:rsid w:val="003E03B5"/>
    <w:rsid w:val="003E4DBC"/>
    <w:rsid w:val="003E5AAF"/>
    <w:rsid w:val="003E600D"/>
    <w:rsid w:val="003E64DF"/>
    <w:rsid w:val="003E6A5D"/>
    <w:rsid w:val="003E7409"/>
    <w:rsid w:val="003F193A"/>
    <w:rsid w:val="003F3B2C"/>
    <w:rsid w:val="003F4207"/>
    <w:rsid w:val="003F5C46"/>
    <w:rsid w:val="003F7CBB"/>
    <w:rsid w:val="003F7D34"/>
    <w:rsid w:val="00412C8E"/>
    <w:rsid w:val="0041518D"/>
    <w:rsid w:val="0042221D"/>
    <w:rsid w:val="0042463F"/>
    <w:rsid w:val="00424DD3"/>
    <w:rsid w:val="004269C5"/>
    <w:rsid w:val="00435939"/>
    <w:rsid w:val="00437CC7"/>
    <w:rsid w:val="00442B9C"/>
    <w:rsid w:val="00445EFA"/>
    <w:rsid w:val="0044738A"/>
    <w:rsid w:val="004473D3"/>
    <w:rsid w:val="00452231"/>
    <w:rsid w:val="0045359A"/>
    <w:rsid w:val="00455CEC"/>
    <w:rsid w:val="00460C13"/>
    <w:rsid w:val="00463228"/>
    <w:rsid w:val="00463595"/>
    <w:rsid w:val="00463782"/>
    <w:rsid w:val="004667E0"/>
    <w:rsid w:val="0046760E"/>
    <w:rsid w:val="00470E10"/>
    <w:rsid w:val="00472B18"/>
    <w:rsid w:val="00473348"/>
    <w:rsid w:val="00477A97"/>
    <w:rsid w:val="00481343"/>
    <w:rsid w:val="004846E9"/>
    <w:rsid w:val="0048549E"/>
    <w:rsid w:val="004904EC"/>
    <w:rsid w:val="004905FE"/>
    <w:rsid w:val="004930C6"/>
    <w:rsid w:val="00493347"/>
    <w:rsid w:val="00496092"/>
    <w:rsid w:val="004A08DB"/>
    <w:rsid w:val="004A11CA"/>
    <w:rsid w:val="004A25D0"/>
    <w:rsid w:val="004A2D2B"/>
    <w:rsid w:val="004A37E8"/>
    <w:rsid w:val="004A72D8"/>
    <w:rsid w:val="004A7549"/>
    <w:rsid w:val="004B09D4"/>
    <w:rsid w:val="004B309D"/>
    <w:rsid w:val="004B330A"/>
    <w:rsid w:val="004B7C55"/>
    <w:rsid w:val="004B7C8E"/>
    <w:rsid w:val="004C1C11"/>
    <w:rsid w:val="004C3D3C"/>
    <w:rsid w:val="004D0EDC"/>
    <w:rsid w:val="004D1220"/>
    <w:rsid w:val="004D14B3"/>
    <w:rsid w:val="004D1529"/>
    <w:rsid w:val="004D2253"/>
    <w:rsid w:val="004D5514"/>
    <w:rsid w:val="004D56C3"/>
    <w:rsid w:val="004D6B57"/>
    <w:rsid w:val="004E0338"/>
    <w:rsid w:val="004E1718"/>
    <w:rsid w:val="004E1F0C"/>
    <w:rsid w:val="004E4FF3"/>
    <w:rsid w:val="004E56A8"/>
    <w:rsid w:val="004E72FA"/>
    <w:rsid w:val="004F3B55"/>
    <w:rsid w:val="004F428E"/>
    <w:rsid w:val="004F4E46"/>
    <w:rsid w:val="004F6B7D"/>
    <w:rsid w:val="005015F6"/>
    <w:rsid w:val="005021EA"/>
    <w:rsid w:val="005030C4"/>
    <w:rsid w:val="005031C5"/>
    <w:rsid w:val="00504447"/>
    <w:rsid w:val="00504FDC"/>
    <w:rsid w:val="005120CC"/>
    <w:rsid w:val="00512B7B"/>
    <w:rsid w:val="00514EA1"/>
    <w:rsid w:val="0051798B"/>
    <w:rsid w:val="00521F5A"/>
    <w:rsid w:val="00525BA2"/>
    <w:rsid w:val="00525E06"/>
    <w:rsid w:val="00526454"/>
    <w:rsid w:val="00531823"/>
    <w:rsid w:val="00534ECC"/>
    <w:rsid w:val="0053720D"/>
    <w:rsid w:val="00540EF5"/>
    <w:rsid w:val="00541BF3"/>
    <w:rsid w:val="00541CD3"/>
    <w:rsid w:val="005476FA"/>
    <w:rsid w:val="0055595E"/>
    <w:rsid w:val="00557988"/>
    <w:rsid w:val="00562C49"/>
    <w:rsid w:val="00562DEF"/>
    <w:rsid w:val="0056321A"/>
    <w:rsid w:val="00563A35"/>
    <w:rsid w:val="0056498A"/>
    <w:rsid w:val="00566596"/>
    <w:rsid w:val="005741E9"/>
    <w:rsid w:val="005748CF"/>
    <w:rsid w:val="00584270"/>
    <w:rsid w:val="00584738"/>
    <w:rsid w:val="00590DA7"/>
    <w:rsid w:val="005920B0"/>
    <w:rsid w:val="0059380D"/>
    <w:rsid w:val="00595A8F"/>
    <w:rsid w:val="0059714B"/>
    <w:rsid w:val="005977C2"/>
    <w:rsid w:val="00597BF2"/>
    <w:rsid w:val="005A1F54"/>
    <w:rsid w:val="005A3020"/>
    <w:rsid w:val="005B0ECC"/>
    <w:rsid w:val="005B134E"/>
    <w:rsid w:val="005B2039"/>
    <w:rsid w:val="005B344F"/>
    <w:rsid w:val="005B3FBA"/>
    <w:rsid w:val="005B4A1D"/>
    <w:rsid w:val="005B674D"/>
    <w:rsid w:val="005C056D"/>
    <w:rsid w:val="005C0CBE"/>
    <w:rsid w:val="005C1FCF"/>
    <w:rsid w:val="005C3F41"/>
    <w:rsid w:val="005C7BF2"/>
    <w:rsid w:val="005D1885"/>
    <w:rsid w:val="005D2F27"/>
    <w:rsid w:val="005D4A38"/>
    <w:rsid w:val="005D54D8"/>
    <w:rsid w:val="005E2AF2"/>
    <w:rsid w:val="005E2EEA"/>
    <w:rsid w:val="005E3708"/>
    <w:rsid w:val="005E3CCD"/>
    <w:rsid w:val="005E3D6B"/>
    <w:rsid w:val="005E5B55"/>
    <w:rsid w:val="005E5E4A"/>
    <w:rsid w:val="005E693D"/>
    <w:rsid w:val="005E75BF"/>
    <w:rsid w:val="005F57BA"/>
    <w:rsid w:val="005F61E6"/>
    <w:rsid w:val="005F6C45"/>
    <w:rsid w:val="006022DA"/>
    <w:rsid w:val="00605A69"/>
    <w:rsid w:val="00606C54"/>
    <w:rsid w:val="006106D8"/>
    <w:rsid w:val="00614375"/>
    <w:rsid w:val="00615B0A"/>
    <w:rsid w:val="006168CF"/>
    <w:rsid w:val="0062011B"/>
    <w:rsid w:val="00626DE0"/>
    <w:rsid w:val="00630901"/>
    <w:rsid w:val="00631F8E"/>
    <w:rsid w:val="00636EE9"/>
    <w:rsid w:val="00640950"/>
    <w:rsid w:val="00641AE7"/>
    <w:rsid w:val="00642629"/>
    <w:rsid w:val="0064782B"/>
    <w:rsid w:val="00651390"/>
    <w:rsid w:val="0065293D"/>
    <w:rsid w:val="00653EFC"/>
    <w:rsid w:val="00654021"/>
    <w:rsid w:val="00661045"/>
    <w:rsid w:val="00661D1D"/>
    <w:rsid w:val="00666DA8"/>
    <w:rsid w:val="006671B8"/>
    <w:rsid w:val="00671057"/>
    <w:rsid w:val="00675AAF"/>
    <w:rsid w:val="0068031A"/>
    <w:rsid w:val="00681B2F"/>
    <w:rsid w:val="00681BBA"/>
    <w:rsid w:val="00682C99"/>
    <w:rsid w:val="0068335F"/>
    <w:rsid w:val="00683520"/>
    <w:rsid w:val="00687217"/>
    <w:rsid w:val="0069140F"/>
    <w:rsid w:val="00693302"/>
    <w:rsid w:val="0069640B"/>
    <w:rsid w:val="006A1B83"/>
    <w:rsid w:val="006A21CD"/>
    <w:rsid w:val="006A5918"/>
    <w:rsid w:val="006B21B2"/>
    <w:rsid w:val="006B34E2"/>
    <w:rsid w:val="006B3E84"/>
    <w:rsid w:val="006B4A4A"/>
    <w:rsid w:val="006C19B2"/>
    <w:rsid w:val="006C4409"/>
    <w:rsid w:val="006C5BB8"/>
    <w:rsid w:val="006C6936"/>
    <w:rsid w:val="006C7B01"/>
    <w:rsid w:val="006D0FE8"/>
    <w:rsid w:val="006D4B2B"/>
    <w:rsid w:val="006D4F3C"/>
    <w:rsid w:val="006D5C66"/>
    <w:rsid w:val="006D7002"/>
    <w:rsid w:val="006E1B3C"/>
    <w:rsid w:val="006E23FB"/>
    <w:rsid w:val="006E325A"/>
    <w:rsid w:val="006E33EC"/>
    <w:rsid w:val="006E3802"/>
    <w:rsid w:val="006E6C02"/>
    <w:rsid w:val="006F231A"/>
    <w:rsid w:val="006F6B55"/>
    <w:rsid w:val="006F788D"/>
    <w:rsid w:val="006F78E1"/>
    <w:rsid w:val="00701072"/>
    <w:rsid w:val="00702054"/>
    <w:rsid w:val="007035A4"/>
    <w:rsid w:val="0071097C"/>
    <w:rsid w:val="00711799"/>
    <w:rsid w:val="00712B78"/>
    <w:rsid w:val="0071393B"/>
    <w:rsid w:val="00713EE2"/>
    <w:rsid w:val="007177FC"/>
    <w:rsid w:val="00720C5E"/>
    <w:rsid w:val="00721701"/>
    <w:rsid w:val="007248D9"/>
    <w:rsid w:val="00731835"/>
    <w:rsid w:val="0073364A"/>
    <w:rsid w:val="007341F8"/>
    <w:rsid w:val="00734372"/>
    <w:rsid w:val="007346F5"/>
    <w:rsid w:val="00734EB8"/>
    <w:rsid w:val="00735C0E"/>
    <w:rsid w:val="00735F8B"/>
    <w:rsid w:val="0074090B"/>
    <w:rsid w:val="00742D1F"/>
    <w:rsid w:val="00743EBA"/>
    <w:rsid w:val="00744820"/>
    <w:rsid w:val="00744C8E"/>
    <w:rsid w:val="0074707E"/>
    <w:rsid w:val="007516DC"/>
    <w:rsid w:val="00752E58"/>
    <w:rsid w:val="00754B80"/>
    <w:rsid w:val="00761918"/>
    <w:rsid w:val="00762F03"/>
    <w:rsid w:val="0076413B"/>
    <w:rsid w:val="007648AE"/>
    <w:rsid w:val="00764BF8"/>
    <w:rsid w:val="0076514D"/>
    <w:rsid w:val="00767078"/>
    <w:rsid w:val="00773D59"/>
    <w:rsid w:val="00777ABE"/>
    <w:rsid w:val="00781003"/>
    <w:rsid w:val="00786D40"/>
    <w:rsid w:val="00787092"/>
    <w:rsid w:val="007911FD"/>
    <w:rsid w:val="00791D8D"/>
    <w:rsid w:val="007937B9"/>
    <w:rsid w:val="00793930"/>
    <w:rsid w:val="00793DD1"/>
    <w:rsid w:val="00794FEC"/>
    <w:rsid w:val="007A003E"/>
    <w:rsid w:val="007A1965"/>
    <w:rsid w:val="007A2ED1"/>
    <w:rsid w:val="007A4BE6"/>
    <w:rsid w:val="007A5161"/>
    <w:rsid w:val="007B0DC6"/>
    <w:rsid w:val="007B1094"/>
    <w:rsid w:val="007B1762"/>
    <w:rsid w:val="007B3320"/>
    <w:rsid w:val="007B3E00"/>
    <w:rsid w:val="007C301F"/>
    <w:rsid w:val="007C4540"/>
    <w:rsid w:val="007C65AF"/>
    <w:rsid w:val="007D135D"/>
    <w:rsid w:val="007D6473"/>
    <w:rsid w:val="007D730F"/>
    <w:rsid w:val="007D7CD8"/>
    <w:rsid w:val="007E3AA7"/>
    <w:rsid w:val="007E79C1"/>
    <w:rsid w:val="007F737D"/>
    <w:rsid w:val="007F79BA"/>
    <w:rsid w:val="0080308E"/>
    <w:rsid w:val="00804298"/>
    <w:rsid w:val="00805303"/>
    <w:rsid w:val="00806705"/>
    <w:rsid w:val="00806738"/>
    <w:rsid w:val="0081421B"/>
    <w:rsid w:val="00815E99"/>
    <w:rsid w:val="00817B0F"/>
    <w:rsid w:val="008216D5"/>
    <w:rsid w:val="008249CE"/>
    <w:rsid w:val="00831A50"/>
    <w:rsid w:val="00831B3C"/>
    <w:rsid w:val="00831C89"/>
    <w:rsid w:val="00832114"/>
    <w:rsid w:val="00834C46"/>
    <w:rsid w:val="0084093E"/>
    <w:rsid w:val="00841CE1"/>
    <w:rsid w:val="008473D8"/>
    <w:rsid w:val="008528DC"/>
    <w:rsid w:val="00852B8C"/>
    <w:rsid w:val="00854981"/>
    <w:rsid w:val="00856285"/>
    <w:rsid w:val="00864B2E"/>
    <w:rsid w:val="00865963"/>
    <w:rsid w:val="00871C1D"/>
    <w:rsid w:val="008738C8"/>
    <w:rsid w:val="0087450E"/>
    <w:rsid w:val="00875A82"/>
    <w:rsid w:val="00876CA3"/>
    <w:rsid w:val="008772FE"/>
    <w:rsid w:val="008775F1"/>
    <w:rsid w:val="008821AE"/>
    <w:rsid w:val="00883D3A"/>
    <w:rsid w:val="008854F7"/>
    <w:rsid w:val="00885A9D"/>
    <w:rsid w:val="00887BFB"/>
    <w:rsid w:val="008929D2"/>
    <w:rsid w:val="00893636"/>
    <w:rsid w:val="00893B94"/>
    <w:rsid w:val="00896E9D"/>
    <w:rsid w:val="00896F11"/>
    <w:rsid w:val="008A1049"/>
    <w:rsid w:val="008A1C98"/>
    <w:rsid w:val="008A322D"/>
    <w:rsid w:val="008A4D72"/>
    <w:rsid w:val="008A6285"/>
    <w:rsid w:val="008A63B2"/>
    <w:rsid w:val="008B345D"/>
    <w:rsid w:val="008C021B"/>
    <w:rsid w:val="008C0DCF"/>
    <w:rsid w:val="008C0EFD"/>
    <w:rsid w:val="008C1FC2"/>
    <w:rsid w:val="008C26B9"/>
    <w:rsid w:val="008C2980"/>
    <w:rsid w:val="008C4DD6"/>
    <w:rsid w:val="008C5AFB"/>
    <w:rsid w:val="008C6C04"/>
    <w:rsid w:val="008D07FB"/>
    <w:rsid w:val="008D0C02"/>
    <w:rsid w:val="008D1397"/>
    <w:rsid w:val="008D357D"/>
    <w:rsid w:val="008D435A"/>
    <w:rsid w:val="008D61BC"/>
    <w:rsid w:val="008D72D9"/>
    <w:rsid w:val="008E387B"/>
    <w:rsid w:val="008E6087"/>
    <w:rsid w:val="008E758D"/>
    <w:rsid w:val="008F10A7"/>
    <w:rsid w:val="008F755D"/>
    <w:rsid w:val="008F7A39"/>
    <w:rsid w:val="008F7F12"/>
    <w:rsid w:val="009021E8"/>
    <w:rsid w:val="00904677"/>
    <w:rsid w:val="00905EE2"/>
    <w:rsid w:val="00907C9A"/>
    <w:rsid w:val="00911440"/>
    <w:rsid w:val="00911712"/>
    <w:rsid w:val="00911B27"/>
    <w:rsid w:val="00914D83"/>
    <w:rsid w:val="009170BE"/>
    <w:rsid w:val="00920360"/>
    <w:rsid w:val="00920B55"/>
    <w:rsid w:val="009252FA"/>
    <w:rsid w:val="009262C9"/>
    <w:rsid w:val="00930EB9"/>
    <w:rsid w:val="00932622"/>
    <w:rsid w:val="00933DC7"/>
    <w:rsid w:val="009418F4"/>
    <w:rsid w:val="00942BBC"/>
    <w:rsid w:val="009436D4"/>
    <w:rsid w:val="00944180"/>
    <w:rsid w:val="00944AA0"/>
    <w:rsid w:val="00947DA2"/>
    <w:rsid w:val="00951177"/>
    <w:rsid w:val="00965BDB"/>
    <w:rsid w:val="009673E8"/>
    <w:rsid w:val="00974DB8"/>
    <w:rsid w:val="00980661"/>
    <w:rsid w:val="0098093B"/>
    <w:rsid w:val="009824B6"/>
    <w:rsid w:val="009876D4"/>
    <w:rsid w:val="009914A5"/>
    <w:rsid w:val="00991868"/>
    <w:rsid w:val="009922A1"/>
    <w:rsid w:val="0099548E"/>
    <w:rsid w:val="00996456"/>
    <w:rsid w:val="00996A12"/>
    <w:rsid w:val="00997B0F"/>
    <w:rsid w:val="009A0CC3"/>
    <w:rsid w:val="009A1CAD"/>
    <w:rsid w:val="009A3440"/>
    <w:rsid w:val="009A5832"/>
    <w:rsid w:val="009A6838"/>
    <w:rsid w:val="009A7469"/>
    <w:rsid w:val="009B0DFC"/>
    <w:rsid w:val="009B1241"/>
    <w:rsid w:val="009B24B5"/>
    <w:rsid w:val="009B2C9F"/>
    <w:rsid w:val="009B4EBC"/>
    <w:rsid w:val="009B5ABB"/>
    <w:rsid w:val="009B5CBE"/>
    <w:rsid w:val="009B73CE"/>
    <w:rsid w:val="009C2461"/>
    <w:rsid w:val="009C4F1D"/>
    <w:rsid w:val="009C5A15"/>
    <w:rsid w:val="009C6FE2"/>
    <w:rsid w:val="009C7674"/>
    <w:rsid w:val="009D004A"/>
    <w:rsid w:val="009D5880"/>
    <w:rsid w:val="009E1FD4"/>
    <w:rsid w:val="009E3B07"/>
    <w:rsid w:val="009E51D1"/>
    <w:rsid w:val="009E5531"/>
    <w:rsid w:val="009F171E"/>
    <w:rsid w:val="009F3D2F"/>
    <w:rsid w:val="009F7052"/>
    <w:rsid w:val="00A02668"/>
    <w:rsid w:val="00A02801"/>
    <w:rsid w:val="00A06A39"/>
    <w:rsid w:val="00A07018"/>
    <w:rsid w:val="00A07E8A"/>
    <w:rsid w:val="00A07F58"/>
    <w:rsid w:val="00A131CB"/>
    <w:rsid w:val="00A14847"/>
    <w:rsid w:val="00A16D6D"/>
    <w:rsid w:val="00A21383"/>
    <w:rsid w:val="00A2199F"/>
    <w:rsid w:val="00A21B31"/>
    <w:rsid w:val="00A22792"/>
    <w:rsid w:val="00A2360E"/>
    <w:rsid w:val="00A26E0C"/>
    <w:rsid w:val="00A32FCB"/>
    <w:rsid w:val="00A34C25"/>
    <w:rsid w:val="00A3507D"/>
    <w:rsid w:val="00A3613D"/>
    <w:rsid w:val="00A3717A"/>
    <w:rsid w:val="00A4088C"/>
    <w:rsid w:val="00A4456B"/>
    <w:rsid w:val="00A448D4"/>
    <w:rsid w:val="00A452E0"/>
    <w:rsid w:val="00A500ED"/>
    <w:rsid w:val="00A506DF"/>
    <w:rsid w:val="00A51EA5"/>
    <w:rsid w:val="00A53742"/>
    <w:rsid w:val="00A557A1"/>
    <w:rsid w:val="00A63059"/>
    <w:rsid w:val="00A63AE3"/>
    <w:rsid w:val="00A651A4"/>
    <w:rsid w:val="00A71361"/>
    <w:rsid w:val="00A746E2"/>
    <w:rsid w:val="00A81FF2"/>
    <w:rsid w:val="00A83904"/>
    <w:rsid w:val="00A90A79"/>
    <w:rsid w:val="00A96B30"/>
    <w:rsid w:val="00AA442D"/>
    <w:rsid w:val="00AA457E"/>
    <w:rsid w:val="00AA59B5"/>
    <w:rsid w:val="00AA73A2"/>
    <w:rsid w:val="00AA7777"/>
    <w:rsid w:val="00AA7B84"/>
    <w:rsid w:val="00AB3D29"/>
    <w:rsid w:val="00AC0B4C"/>
    <w:rsid w:val="00AC1164"/>
    <w:rsid w:val="00AC2296"/>
    <w:rsid w:val="00AC2754"/>
    <w:rsid w:val="00AC48B0"/>
    <w:rsid w:val="00AC4ACD"/>
    <w:rsid w:val="00AC5DFB"/>
    <w:rsid w:val="00AD13DC"/>
    <w:rsid w:val="00AD6DE2"/>
    <w:rsid w:val="00AE0A40"/>
    <w:rsid w:val="00AE1252"/>
    <w:rsid w:val="00AE1ED4"/>
    <w:rsid w:val="00AE21E1"/>
    <w:rsid w:val="00AE2F8D"/>
    <w:rsid w:val="00AE3034"/>
    <w:rsid w:val="00AE3BAE"/>
    <w:rsid w:val="00AE59D4"/>
    <w:rsid w:val="00AE6A21"/>
    <w:rsid w:val="00AF1C8F"/>
    <w:rsid w:val="00AF2B68"/>
    <w:rsid w:val="00AF2C92"/>
    <w:rsid w:val="00AF3EC1"/>
    <w:rsid w:val="00AF5025"/>
    <w:rsid w:val="00AF519F"/>
    <w:rsid w:val="00AF5387"/>
    <w:rsid w:val="00AF55F5"/>
    <w:rsid w:val="00AF7E86"/>
    <w:rsid w:val="00B024B9"/>
    <w:rsid w:val="00B077FA"/>
    <w:rsid w:val="00B127D7"/>
    <w:rsid w:val="00B13B0C"/>
    <w:rsid w:val="00B14408"/>
    <w:rsid w:val="00B1453A"/>
    <w:rsid w:val="00B20F82"/>
    <w:rsid w:val="00B25BD5"/>
    <w:rsid w:val="00B34079"/>
    <w:rsid w:val="00B3793A"/>
    <w:rsid w:val="00B401BA"/>
    <w:rsid w:val="00B407E4"/>
    <w:rsid w:val="00B425B6"/>
    <w:rsid w:val="00B42A72"/>
    <w:rsid w:val="00B441AE"/>
    <w:rsid w:val="00B45A65"/>
    <w:rsid w:val="00B45F33"/>
    <w:rsid w:val="00B46D50"/>
    <w:rsid w:val="00B53170"/>
    <w:rsid w:val="00B548B9"/>
    <w:rsid w:val="00B54DF9"/>
    <w:rsid w:val="00B56DBE"/>
    <w:rsid w:val="00B60E56"/>
    <w:rsid w:val="00B62999"/>
    <w:rsid w:val="00B63BE3"/>
    <w:rsid w:val="00B64885"/>
    <w:rsid w:val="00B64FA3"/>
    <w:rsid w:val="00B66810"/>
    <w:rsid w:val="00B72BE3"/>
    <w:rsid w:val="00B73B80"/>
    <w:rsid w:val="00B73DFB"/>
    <w:rsid w:val="00B770C7"/>
    <w:rsid w:val="00B80F26"/>
    <w:rsid w:val="00B8219F"/>
    <w:rsid w:val="00B822BD"/>
    <w:rsid w:val="00B842F4"/>
    <w:rsid w:val="00B845B7"/>
    <w:rsid w:val="00B91A7B"/>
    <w:rsid w:val="00B929DD"/>
    <w:rsid w:val="00B93AF6"/>
    <w:rsid w:val="00B95405"/>
    <w:rsid w:val="00B963F1"/>
    <w:rsid w:val="00BA020A"/>
    <w:rsid w:val="00BB025A"/>
    <w:rsid w:val="00BB026C"/>
    <w:rsid w:val="00BB02A4"/>
    <w:rsid w:val="00BB1270"/>
    <w:rsid w:val="00BB1E44"/>
    <w:rsid w:val="00BB5267"/>
    <w:rsid w:val="00BB52B8"/>
    <w:rsid w:val="00BB59D8"/>
    <w:rsid w:val="00BB5B6C"/>
    <w:rsid w:val="00BB7E69"/>
    <w:rsid w:val="00BC0E51"/>
    <w:rsid w:val="00BC0FA8"/>
    <w:rsid w:val="00BC15DB"/>
    <w:rsid w:val="00BC2BA4"/>
    <w:rsid w:val="00BC3C1F"/>
    <w:rsid w:val="00BC7CE7"/>
    <w:rsid w:val="00BD0759"/>
    <w:rsid w:val="00BD295E"/>
    <w:rsid w:val="00BD4014"/>
    <w:rsid w:val="00BD4664"/>
    <w:rsid w:val="00BD668A"/>
    <w:rsid w:val="00BE1193"/>
    <w:rsid w:val="00BE37C3"/>
    <w:rsid w:val="00BF1FC3"/>
    <w:rsid w:val="00BF4849"/>
    <w:rsid w:val="00BF4EA7"/>
    <w:rsid w:val="00BF6525"/>
    <w:rsid w:val="00BF697A"/>
    <w:rsid w:val="00C00EDB"/>
    <w:rsid w:val="00C02863"/>
    <w:rsid w:val="00C0383A"/>
    <w:rsid w:val="00C067FF"/>
    <w:rsid w:val="00C07F34"/>
    <w:rsid w:val="00C12862"/>
    <w:rsid w:val="00C13D28"/>
    <w:rsid w:val="00C14585"/>
    <w:rsid w:val="00C165A0"/>
    <w:rsid w:val="00C216CE"/>
    <w:rsid w:val="00C2184F"/>
    <w:rsid w:val="00C22A78"/>
    <w:rsid w:val="00C23C7E"/>
    <w:rsid w:val="00C246C5"/>
    <w:rsid w:val="00C25A82"/>
    <w:rsid w:val="00C30A2A"/>
    <w:rsid w:val="00C33993"/>
    <w:rsid w:val="00C4069E"/>
    <w:rsid w:val="00C41ADC"/>
    <w:rsid w:val="00C43438"/>
    <w:rsid w:val="00C44149"/>
    <w:rsid w:val="00C44410"/>
    <w:rsid w:val="00C444B3"/>
    <w:rsid w:val="00C44A15"/>
    <w:rsid w:val="00C4630A"/>
    <w:rsid w:val="00C46BAD"/>
    <w:rsid w:val="00C52275"/>
    <w:rsid w:val="00C523F0"/>
    <w:rsid w:val="00C526D2"/>
    <w:rsid w:val="00C53A91"/>
    <w:rsid w:val="00C5794E"/>
    <w:rsid w:val="00C60968"/>
    <w:rsid w:val="00C615AC"/>
    <w:rsid w:val="00C63D39"/>
    <w:rsid w:val="00C63EDD"/>
    <w:rsid w:val="00C65B36"/>
    <w:rsid w:val="00C7292E"/>
    <w:rsid w:val="00C74E88"/>
    <w:rsid w:val="00C75781"/>
    <w:rsid w:val="00C80924"/>
    <w:rsid w:val="00C8286B"/>
    <w:rsid w:val="00C90C3E"/>
    <w:rsid w:val="00C947F8"/>
    <w:rsid w:val="00C9515F"/>
    <w:rsid w:val="00C963C5"/>
    <w:rsid w:val="00CA030C"/>
    <w:rsid w:val="00CA1F41"/>
    <w:rsid w:val="00CA32EE"/>
    <w:rsid w:val="00CA5771"/>
    <w:rsid w:val="00CA6A1A"/>
    <w:rsid w:val="00CB2833"/>
    <w:rsid w:val="00CB69D0"/>
    <w:rsid w:val="00CC1E75"/>
    <w:rsid w:val="00CC2E0E"/>
    <w:rsid w:val="00CC361C"/>
    <w:rsid w:val="00CC474B"/>
    <w:rsid w:val="00CC4975"/>
    <w:rsid w:val="00CC658C"/>
    <w:rsid w:val="00CC67BF"/>
    <w:rsid w:val="00CD0843"/>
    <w:rsid w:val="00CD4E31"/>
    <w:rsid w:val="00CD5A78"/>
    <w:rsid w:val="00CD6ACB"/>
    <w:rsid w:val="00CD7345"/>
    <w:rsid w:val="00CE2EDE"/>
    <w:rsid w:val="00CE372E"/>
    <w:rsid w:val="00CE5D47"/>
    <w:rsid w:val="00CF0A1B"/>
    <w:rsid w:val="00CF19F6"/>
    <w:rsid w:val="00CF2F4F"/>
    <w:rsid w:val="00CF536D"/>
    <w:rsid w:val="00D02E9D"/>
    <w:rsid w:val="00D04D21"/>
    <w:rsid w:val="00D058C4"/>
    <w:rsid w:val="00D10CB8"/>
    <w:rsid w:val="00D12806"/>
    <w:rsid w:val="00D12D44"/>
    <w:rsid w:val="00D14A59"/>
    <w:rsid w:val="00D14FAF"/>
    <w:rsid w:val="00D15018"/>
    <w:rsid w:val="00D158AC"/>
    <w:rsid w:val="00D1694C"/>
    <w:rsid w:val="00D20F5E"/>
    <w:rsid w:val="00D23B76"/>
    <w:rsid w:val="00D24B4A"/>
    <w:rsid w:val="00D31C92"/>
    <w:rsid w:val="00D379A3"/>
    <w:rsid w:val="00D45FF3"/>
    <w:rsid w:val="00D512CF"/>
    <w:rsid w:val="00D528B9"/>
    <w:rsid w:val="00D53186"/>
    <w:rsid w:val="00D5487D"/>
    <w:rsid w:val="00D60140"/>
    <w:rsid w:val="00D6024A"/>
    <w:rsid w:val="00D608B5"/>
    <w:rsid w:val="00D62AF2"/>
    <w:rsid w:val="00D64739"/>
    <w:rsid w:val="00D66715"/>
    <w:rsid w:val="00D71F99"/>
    <w:rsid w:val="00D73CA4"/>
    <w:rsid w:val="00D73D71"/>
    <w:rsid w:val="00D74396"/>
    <w:rsid w:val="00D80284"/>
    <w:rsid w:val="00D81F71"/>
    <w:rsid w:val="00D83172"/>
    <w:rsid w:val="00D858BF"/>
    <w:rsid w:val="00D8642D"/>
    <w:rsid w:val="00D90A5E"/>
    <w:rsid w:val="00D91A68"/>
    <w:rsid w:val="00D91B11"/>
    <w:rsid w:val="00D94FBC"/>
    <w:rsid w:val="00D95045"/>
    <w:rsid w:val="00D95A68"/>
    <w:rsid w:val="00DA17C7"/>
    <w:rsid w:val="00DA50EA"/>
    <w:rsid w:val="00DA6A9A"/>
    <w:rsid w:val="00DB1EFD"/>
    <w:rsid w:val="00DB32D0"/>
    <w:rsid w:val="00DB3EAF"/>
    <w:rsid w:val="00DB46C6"/>
    <w:rsid w:val="00DC3203"/>
    <w:rsid w:val="00DC3C99"/>
    <w:rsid w:val="00DC52F5"/>
    <w:rsid w:val="00DC5FD0"/>
    <w:rsid w:val="00DD0354"/>
    <w:rsid w:val="00DD27D7"/>
    <w:rsid w:val="00DD458C"/>
    <w:rsid w:val="00DD45BF"/>
    <w:rsid w:val="00DD72E9"/>
    <w:rsid w:val="00DD7605"/>
    <w:rsid w:val="00DE2020"/>
    <w:rsid w:val="00DE2876"/>
    <w:rsid w:val="00DE3476"/>
    <w:rsid w:val="00DE7BEA"/>
    <w:rsid w:val="00DF1D49"/>
    <w:rsid w:val="00DF29F6"/>
    <w:rsid w:val="00DF5B84"/>
    <w:rsid w:val="00DF6D5B"/>
    <w:rsid w:val="00DF771B"/>
    <w:rsid w:val="00DF7EE2"/>
    <w:rsid w:val="00E01BAA"/>
    <w:rsid w:val="00E0282A"/>
    <w:rsid w:val="00E02F9B"/>
    <w:rsid w:val="00E07E14"/>
    <w:rsid w:val="00E14F94"/>
    <w:rsid w:val="00E17336"/>
    <w:rsid w:val="00E17D15"/>
    <w:rsid w:val="00E22B95"/>
    <w:rsid w:val="00E30331"/>
    <w:rsid w:val="00E30BB8"/>
    <w:rsid w:val="00E31F9C"/>
    <w:rsid w:val="00E40488"/>
    <w:rsid w:val="00E50367"/>
    <w:rsid w:val="00E507B8"/>
    <w:rsid w:val="00E51ABA"/>
    <w:rsid w:val="00E524CB"/>
    <w:rsid w:val="00E65456"/>
    <w:rsid w:val="00E65A91"/>
    <w:rsid w:val="00E66188"/>
    <w:rsid w:val="00E664FB"/>
    <w:rsid w:val="00E672F0"/>
    <w:rsid w:val="00E70373"/>
    <w:rsid w:val="00E70402"/>
    <w:rsid w:val="00E72E40"/>
    <w:rsid w:val="00E73665"/>
    <w:rsid w:val="00E73999"/>
    <w:rsid w:val="00E73BDC"/>
    <w:rsid w:val="00E73E9E"/>
    <w:rsid w:val="00E75990"/>
    <w:rsid w:val="00E81660"/>
    <w:rsid w:val="00E83DA0"/>
    <w:rsid w:val="00E854FE"/>
    <w:rsid w:val="00E906CC"/>
    <w:rsid w:val="00E939A0"/>
    <w:rsid w:val="00E97E4E"/>
    <w:rsid w:val="00EA1CC2"/>
    <w:rsid w:val="00EA2D76"/>
    <w:rsid w:val="00EA4644"/>
    <w:rsid w:val="00EA758A"/>
    <w:rsid w:val="00EA7B9D"/>
    <w:rsid w:val="00EB096F"/>
    <w:rsid w:val="00EB199F"/>
    <w:rsid w:val="00EB21A4"/>
    <w:rsid w:val="00EB27C4"/>
    <w:rsid w:val="00EB5387"/>
    <w:rsid w:val="00EB5C10"/>
    <w:rsid w:val="00EB7322"/>
    <w:rsid w:val="00EC0FE9"/>
    <w:rsid w:val="00EC198B"/>
    <w:rsid w:val="00EC426D"/>
    <w:rsid w:val="00EC571B"/>
    <w:rsid w:val="00EC57D7"/>
    <w:rsid w:val="00EC6385"/>
    <w:rsid w:val="00ED1620"/>
    <w:rsid w:val="00ED1DE9"/>
    <w:rsid w:val="00ED23D4"/>
    <w:rsid w:val="00ED37A9"/>
    <w:rsid w:val="00ED5E0B"/>
    <w:rsid w:val="00EE37B6"/>
    <w:rsid w:val="00EF0F45"/>
    <w:rsid w:val="00EF2A78"/>
    <w:rsid w:val="00EF6A22"/>
    <w:rsid w:val="00EF7463"/>
    <w:rsid w:val="00EF7971"/>
    <w:rsid w:val="00F002B6"/>
    <w:rsid w:val="00F002EF"/>
    <w:rsid w:val="00F01EE9"/>
    <w:rsid w:val="00F03049"/>
    <w:rsid w:val="00F04900"/>
    <w:rsid w:val="00F065A4"/>
    <w:rsid w:val="00F126B9"/>
    <w:rsid w:val="00F12715"/>
    <w:rsid w:val="00F144D5"/>
    <w:rsid w:val="00F146F0"/>
    <w:rsid w:val="00F15039"/>
    <w:rsid w:val="00F2040B"/>
    <w:rsid w:val="00F20E39"/>
    <w:rsid w:val="00F20FF3"/>
    <w:rsid w:val="00F2190B"/>
    <w:rsid w:val="00F228B5"/>
    <w:rsid w:val="00F2389C"/>
    <w:rsid w:val="00F25C67"/>
    <w:rsid w:val="00F30DFF"/>
    <w:rsid w:val="00F32B80"/>
    <w:rsid w:val="00F340EB"/>
    <w:rsid w:val="00F35285"/>
    <w:rsid w:val="00F43B9D"/>
    <w:rsid w:val="00F44D5E"/>
    <w:rsid w:val="00F53A35"/>
    <w:rsid w:val="00F55A3D"/>
    <w:rsid w:val="00F5744B"/>
    <w:rsid w:val="00F61209"/>
    <w:rsid w:val="00F6259E"/>
    <w:rsid w:val="00F65DD4"/>
    <w:rsid w:val="00F672B2"/>
    <w:rsid w:val="00F71B4D"/>
    <w:rsid w:val="00F82EE9"/>
    <w:rsid w:val="00F83973"/>
    <w:rsid w:val="00F85F12"/>
    <w:rsid w:val="00F87FA3"/>
    <w:rsid w:val="00F93D8C"/>
    <w:rsid w:val="00F9681F"/>
    <w:rsid w:val="00FA3102"/>
    <w:rsid w:val="00FA48D4"/>
    <w:rsid w:val="00FA54FA"/>
    <w:rsid w:val="00FA6D39"/>
    <w:rsid w:val="00FB227E"/>
    <w:rsid w:val="00FB3D61"/>
    <w:rsid w:val="00FB44CE"/>
    <w:rsid w:val="00FB5009"/>
    <w:rsid w:val="00FB76AB"/>
    <w:rsid w:val="00FC1BD3"/>
    <w:rsid w:val="00FD03FE"/>
    <w:rsid w:val="00FD126E"/>
    <w:rsid w:val="00FD3C36"/>
    <w:rsid w:val="00FD4D81"/>
    <w:rsid w:val="00FD7498"/>
    <w:rsid w:val="00FD76A1"/>
    <w:rsid w:val="00FD7FB3"/>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C963B"/>
  <w14:defaultImageDpi w14:val="330"/>
  <w15:docId w15:val="{40EE3B3B-3D13-4499-B97C-890E16DE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B096F"/>
    <w:pPr>
      <w:spacing w:line="480" w:lineRule="auto"/>
    </w:pPr>
    <w:rPr>
      <w:sz w:val="24"/>
      <w:szCs w:val="24"/>
    </w:rPr>
  </w:style>
  <w:style w:type="paragraph" w:styleId="berschrift1">
    <w:name w:val="heading 1"/>
    <w:basedOn w:val="Standard"/>
    <w:next w:val="Paragraph"/>
    <w:link w:val="berschrift1Zchn"/>
    <w:qFormat/>
    <w:rsid w:val="00AE1ED4"/>
    <w:pPr>
      <w:keepNext/>
      <w:spacing w:before="360" w:after="60" w:line="360" w:lineRule="auto"/>
      <w:ind w:right="567"/>
      <w:contextualSpacing/>
      <w:outlineLvl w:val="0"/>
    </w:pPr>
    <w:rPr>
      <w:rFonts w:cs="Arial"/>
      <w:b/>
      <w:bCs/>
      <w:kern w:val="32"/>
      <w:szCs w:val="32"/>
    </w:rPr>
  </w:style>
  <w:style w:type="paragraph" w:styleId="berschrift2">
    <w:name w:val="heading 2"/>
    <w:basedOn w:val="Standard"/>
    <w:next w:val="Paragraph"/>
    <w:link w:val="berschrift2Zchn"/>
    <w:qFormat/>
    <w:rsid w:val="008D07FB"/>
    <w:pPr>
      <w:keepNext/>
      <w:spacing w:before="360" w:after="60" w:line="360" w:lineRule="auto"/>
      <w:ind w:right="567"/>
      <w:contextualSpacing/>
      <w:outlineLvl w:val="1"/>
    </w:pPr>
    <w:rPr>
      <w:rFonts w:cs="Arial"/>
      <w:b/>
      <w:bCs/>
      <w:i/>
      <w:iCs/>
      <w:szCs w:val="28"/>
    </w:rPr>
  </w:style>
  <w:style w:type="paragraph" w:styleId="berschrift3">
    <w:name w:val="heading 3"/>
    <w:basedOn w:val="Standard"/>
    <w:next w:val="Paragraph"/>
    <w:link w:val="berschrift3Zchn"/>
    <w:qFormat/>
    <w:rsid w:val="00DF7EE2"/>
    <w:pPr>
      <w:keepNext/>
      <w:spacing w:before="360" w:after="60" w:line="360" w:lineRule="auto"/>
      <w:ind w:right="567"/>
      <w:contextualSpacing/>
      <w:outlineLvl w:val="2"/>
    </w:pPr>
    <w:rPr>
      <w:rFonts w:cs="Arial"/>
      <w:bCs/>
      <w:i/>
      <w:szCs w:val="26"/>
    </w:rPr>
  </w:style>
  <w:style w:type="paragraph" w:styleId="berschrift4">
    <w:name w:val="heading 4"/>
    <w:basedOn w:val="Paragraph"/>
    <w:next w:val="Newparagraph"/>
    <w:link w:val="berschrift4Zchn"/>
    <w:rsid w:val="00F43B9D"/>
    <w:pPr>
      <w:spacing w:before="360"/>
      <w:outlineLvl w:val="3"/>
    </w:pPr>
    <w:rPr>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ticletitle">
    <w:name w:val="Article title"/>
    <w:basedOn w:val="Standard"/>
    <w:next w:val="Standard"/>
    <w:qFormat/>
    <w:rsid w:val="0024692A"/>
    <w:pPr>
      <w:spacing w:after="120" w:line="360" w:lineRule="auto"/>
    </w:pPr>
    <w:rPr>
      <w:b/>
      <w:sz w:val="28"/>
    </w:rPr>
  </w:style>
  <w:style w:type="paragraph" w:customStyle="1" w:styleId="Authornames">
    <w:name w:val="Author names"/>
    <w:basedOn w:val="Standard"/>
    <w:next w:val="Standard"/>
    <w:qFormat/>
    <w:rsid w:val="00F04900"/>
    <w:pPr>
      <w:spacing w:before="240" w:line="360" w:lineRule="auto"/>
    </w:pPr>
    <w:rPr>
      <w:sz w:val="28"/>
    </w:rPr>
  </w:style>
  <w:style w:type="paragraph" w:customStyle="1" w:styleId="Affiliation">
    <w:name w:val="Affiliation"/>
    <w:basedOn w:val="Standard"/>
    <w:qFormat/>
    <w:rsid w:val="00F04900"/>
    <w:pPr>
      <w:spacing w:before="240" w:line="360" w:lineRule="auto"/>
    </w:pPr>
    <w:rPr>
      <w:i/>
    </w:rPr>
  </w:style>
  <w:style w:type="paragraph" w:customStyle="1" w:styleId="Receiveddates">
    <w:name w:val="Received dates"/>
    <w:basedOn w:val="Affiliation"/>
    <w:next w:val="Standard"/>
    <w:qFormat/>
    <w:rsid w:val="00CC474B"/>
  </w:style>
  <w:style w:type="paragraph" w:customStyle="1" w:styleId="Abstract">
    <w:name w:val="Abstract"/>
    <w:basedOn w:val="Standard"/>
    <w:next w:val="Keywords"/>
    <w:qFormat/>
    <w:rsid w:val="00310E13"/>
    <w:pPr>
      <w:spacing w:before="360" w:after="300" w:line="360" w:lineRule="auto"/>
      <w:ind w:left="720" w:right="567"/>
    </w:pPr>
    <w:rPr>
      <w:sz w:val="22"/>
    </w:rPr>
  </w:style>
  <w:style w:type="paragraph" w:customStyle="1" w:styleId="Keywords">
    <w:name w:val="Keywords"/>
    <w:basedOn w:val="Standard"/>
    <w:next w:val="Paragraph"/>
    <w:qFormat/>
    <w:rsid w:val="00BB1270"/>
    <w:pPr>
      <w:spacing w:before="240" w:after="240" w:line="360" w:lineRule="auto"/>
      <w:ind w:left="720" w:right="567"/>
    </w:pPr>
    <w:rPr>
      <w:sz w:val="22"/>
    </w:rPr>
  </w:style>
  <w:style w:type="paragraph" w:customStyle="1" w:styleId="Correspondencedetails">
    <w:name w:val="Correspondence details"/>
    <w:basedOn w:val="Standard"/>
    <w:qFormat/>
    <w:rsid w:val="00F04900"/>
    <w:pPr>
      <w:spacing w:before="240" w:line="360" w:lineRule="auto"/>
    </w:pPr>
  </w:style>
  <w:style w:type="paragraph" w:customStyle="1" w:styleId="Displayedquotation">
    <w:name w:val="Displayed quotation"/>
    <w:basedOn w:val="Standard"/>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Standard"/>
    <w:next w:val="Paragraph"/>
    <w:qFormat/>
    <w:rsid w:val="00EF0F45"/>
    <w:pPr>
      <w:tabs>
        <w:tab w:val="center" w:pos="4253"/>
        <w:tab w:val="right" w:pos="8222"/>
      </w:tabs>
      <w:spacing w:before="240" w:after="240"/>
      <w:jc w:val="center"/>
    </w:pPr>
  </w:style>
  <w:style w:type="paragraph" w:customStyle="1" w:styleId="Acknowledgements">
    <w:name w:val="Acknowledgements"/>
    <w:basedOn w:val="Standard"/>
    <w:next w:val="Standard"/>
    <w:qFormat/>
    <w:rsid w:val="00D379A3"/>
    <w:pPr>
      <w:spacing w:before="120" w:line="360" w:lineRule="auto"/>
    </w:pPr>
    <w:rPr>
      <w:sz w:val="22"/>
    </w:rPr>
  </w:style>
  <w:style w:type="paragraph" w:customStyle="1" w:styleId="Tabletitle">
    <w:name w:val="Table title"/>
    <w:basedOn w:val="Standard"/>
    <w:next w:val="Standard"/>
    <w:qFormat/>
    <w:rsid w:val="0031686C"/>
    <w:pPr>
      <w:spacing w:before="240" w:line="360" w:lineRule="auto"/>
    </w:pPr>
  </w:style>
  <w:style w:type="paragraph" w:customStyle="1" w:styleId="Figurecaption">
    <w:name w:val="Figure caption"/>
    <w:basedOn w:val="Standard"/>
    <w:next w:val="Standard"/>
    <w:qFormat/>
    <w:rsid w:val="0031686C"/>
    <w:pPr>
      <w:spacing w:before="240" w:line="360" w:lineRule="auto"/>
    </w:pPr>
  </w:style>
  <w:style w:type="paragraph" w:customStyle="1" w:styleId="Footnotes">
    <w:name w:val="Footnotes"/>
    <w:basedOn w:val="Standard"/>
    <w:qFormat/>
    <w:rsid w:val="006C6936"/>
    <w:pPr>
      <w:spacing w:before="120" w:line="360" w:lineRule="auto"/>
      <w:ind w:left="482" w:hanging="482"/>
      <w:contextualSpacing/>
    </w:pPr>
    <w:rPr>
      <w:sz w:val="22"/>
    </w:rPr>
  </w:style>
  <w:style w:type="paragraph" w:customStyle="1" w:styleId="Notesoncontributors">
    <w:name w:val="Notes on contributors"/>
    <w:basedOn w:val="Standard"/>
    <w:qFormat/>
    <w:rsid w:val="00F04900"/>
    <w:pPr>
      <w:spacing w:before="240" w:line="360" w:lineRule="auto"/>
    </w:pPr>
    <w:rPr>
      <w:sz w:val="22"/>
    </w:rPr>
  </w:style>
  <w:style w:type="paragraph" w:customStyle="1" w:styleId="Normalparagraphstyle">
    <w:name w:val="Normal paragraph style"/>
    <w:basedOn w:val="Standard"/>
    <w:next w:val="Standard"/>
    <w:rsid w:val="00562DEF"/>
  </w:style>
  <w:style w:type="paragraph" w:customStyle="1" w:styleId="Paragraph">
    <w:name w:val="Paragraph"/>
    <w:basedOn w:val="Standard"/>
    <w:next w:val="Newparagraph"/>
    <w:qFormat/>
    <w:rsid w:val="001B7681"/>
    <w:pPr>
      <w:widowControl w:val="0"/>
      <w:spacing w:before="240"/>
    </w:pPr>
  </w:style>
  <w:style w:type="paragraph" w:customStyle="1" w:styleId="Newparagraph">
    <w:name w:val="New paragraph"/>
    <w:basedOn w:val="Standard"/>
    <w:qFormat/>
    <w:rsid w:val="00AE2F8D"/>
    <w:pPr>
      <w:ind w:firstLine="720"/>
    </w:pPr>
  </w:style>
  <w:style w:type="paragraph" w:styleId="Standardeinzug">
    <w:name w:val="Normal Indent"/>
    <w:basedOn w:val="Standard"/>
    <w:rsid w:val="00526454"/>
    <w:pPr>
      <w:ind w:left="720"/>
    </w:pPr>
  </w:style>
  <w:style w:type="paragraph" w:customStyle="1" w:styleId="References">
    <w:name w:val="References"/>
    <w:basedOn w:val="Standard"/>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berschrift2Zchn">
    <w:name w:val="Überschrift 2 Zchn"/>
    <w:basedOn w:val="Absatz-Standardschriftart"/>
    <w:link w:val="berschrift2"/>
    <w:rsid w:val="008D07FB"/>
    <w:rPr>
      <w:rFonts w:cs="Arial"/>
      <w:b/>
      <w:bCs/>
      <w:i/>
      <w:iCs/>
      <w:sz w:val="24"/>
      <w:szCs w:val="28"/>
    </w:rPr>
  </w:style>
  <w:style w:type="character" w:customStyle="1" w:styleId="berschrift1Zchn">
    <w:name w:val="Überschrift 1 Zchn"/>
    <w:basedOn w:val="Absatz-Standardschriftart"/>
    <w:link w:val="berschrift1"/>
    <w:rsid w:val="00AE1ED4"/>
    <w:rPr>
      <w:rFonts w:cs="Arial"/>
      <w:b/>
      <w:bCs/>
      <w:kern w:val="32"/>
      <w:sz w:val="24"/>
      <w:szCs w:val="32"/>
    </w:rPr>
  </w:style>
  <w:style w:type="character" w:customStyle="1" w:styleId="berschrift3Zchn">
    <w:name w:val="Überschrift 3 Zchn"/>
    <w:basedOn w:val="Absatz-Standardschriftart"/>
    <w:link w:val="berschrift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unotentext">
    <w:name w:val="footnote text"/>
    <w:basedOn w:val="Standard"/>
    <w:link w:val="FunotentextZchn"/>
    <w:autoRedefine/>
    <w:rsid w:val="006C19B2"/>
    <w:pPr>
      <w:ind w:left="284" w:hanging="284"/>
    </w:pPr>
    <w:rPr>
      <w:sz w:val="22"/>
      <w:szCs w:val="20"/>
    </w:rPr>
  </w:style>
  <w:style w:type="character" w:customStyle="1" w:styleId="FunotentextZchn">
    <w:name w:val="Fußnotentext Zchn"/>
    <w:basedOn w:val="Absatz-Standardschriftart"/>
    <w:link w:val="Funotentext"/>
    <w:rsid w:val="006C19B2"/>
    <w:rPr>
      <w:sz w:val="22"/>
    </w:rPr>
  </w:style>
  <w:style w:type="character" w:styleId="Funotenzeichen">
    <w:name w:val="footnote reference"/>
    <w:basedOn w:val="Absatz-Standardschriftart"/>
    <w:rsid w:val="00AF2C92"/>
    <w:rPr>
      <w:vertAlign w:val="superscript"/>
    </w:rPr>
  </w:style>
  <w:style w:type="paragraph" w:styleId="Endnotentext">
    <w:name w:val="endnote text"/>
    <w:basedOn w:val="Standard"/>
    <w:link w:val="EndnotentextZchn"/>
    <w:autoRedefine/>
    <w:rsid w:val="006C19B2"/>
    <w:pPr>
      <w:ind w:left="284" w:hanging="284"/>
    </w:pPr>
    <w:rPr>
      <w:sz w:val="22"/>
      <w:szCs w:val="20"/>
    </w:rPr>
  </w:style>
  <w:style w:type="character" w:customStyle="1" w:styleId="EndnotentextZchn">
    <w:name w:val="Endnotentext Zchn"/>
    <w:basedOn w:val="Absatz-Standardschriftart"/>
    <w:link w:val="Endnotentext"/>
    <w:rsid w:val="006C19B2"/>
    <w:rPr>
      <w:sz w:val="22"/>
    </w:rPr>
  </w:style>
  <w:style w:type="character" w:styleId="Endnotenzeichen">
    <w:name w:val="endnote reference"/>
    <w:basedOn w:val="Absatz-Standardschriftart"/>
    <w:rsid w:val="00EC571B"/>
    <w:rPr>
      <w:vertAlign w:val="superscript"/>
    </w:rPr>
  </w:style>
  <w:style w:type="character" w:customStyle="1" w:styleId="berschrift4Zchn">
    <w:name w:val="Überschrift 4 Zchn"/>
    <w:basedOn w:val="Absatz-Standardschriftart"/>
    <w:link w:val="berschrift4"/>
    <w:rsid w:val="00F43B9D"/>
    <w:rPr>
      <w:bCs/>
      <w:sz w:val="24"/>
      <w:szCs w:val="28"/>
    </w:rPr>
  </w:style>
  <w:style w:type="paragraph" w:styleId="Kopfzeile">
    <w:name w:val="header"/>
    <w:basedOn w:val="Standard"/>
    <w:link w:val="KopfzeileZchn"/>
    <w:rsid w:val="003F193A"/>
    <w:pPr>
      <w:tabs>
        <w:tab w:val="center" w:pos="4320"/>
        <w:tab w:val="right" w:pos="8640"/>
      </w:tabs>
      <w:spacing w:after="120" w:line="240" w:lineRule="auto"/>
      <w:contextualSpacing/>
    </w:pPr>
  </w:style>
  <w:style w:type="character" w:customStyle="1" w:styleId="KopfzeileZchn">
    <w:name w:val="Kopfzeile Zchn"/>
    <w:basedOn w:val="Absatz-Standardschriftart"/>
    <w:link w:val="Kopfzeile"/>
    <w:rsid w:val="003F193A"/>
    <w:rPr>
      <w:rFonts w:eastAsia="Times New Roman"/>
      <w:sz w:val="24"/>
      <w:szCs w:val="24"/>
      <w:lang w:eastAsia="en-GB"/>
    </w:rPr>
  </w:style>
  <w:style w:type="paragraph" w:styleId="Fuzeile">
    <w:name w:val="footer"/>
    <w:basedOn w:val="Standard"/>
    <w:link w:val="FuzeileZchn"/>
    <w:rsid w:val="00AE6A21"/>
    <w:pPr>
      <w:tabs>
        <w:tab w:val="center" w:pos="4320"/>
        <w:tab w:val="right" w:pos="8640"/>
      </w:tabs>
      <w:spacing w:before="240" w:line="240" w:lineRule="auto"/>
      <w:contextualSpacing/>
    </w:pPr>
  </w:style>
  <w:style w:type="character" w:customStyle="1" w:styleId="FuzeileZchn">
    <w:name w:val="Fußzeile Zchn"/>
    <w:basedOn w:val="Absatz-Standardschriftart"/>
    <w:link w:val="Fuzeile"/>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paragraph" w:styleId="Beschriftung">
    <w:name w:val="caption"/>
    <w:basedOn w:val="Standard"/>
    <w:next w:val="Standard"/>
    <w:uiPriority w:val="35"/>
    <w:unhideWhenUsed/>
    <w:qFormat/>
    <w:rsid w:val="00D91B11"/>
    <w:pPr>
      <w:spacing w:after="200" w:line="240" w:lineRule="auto"/>
    </w:pPr>
    <w:rPr>
      <w:i/>
      <w:iCs/>
      <w:color w:val="1F497D" w:themeColor="text2"/>
      <w:sz w:val="18"/>
      <w:szCs w:val="18"/>
    </w:rPr>
  </w:style>
  <w:style w:type="paragraph" w:customStyle="1" w:styleId="CitaviBibliographyHeading">
    <w:name w:val="Citavi Bibliography Heading"/>
    <w:basedOn w:val="berschrift1"/>
    <w:link w:val="CitaviBibliographyHeadingZchn"/>
    <w:uiPriority w:val="99"/>
    <w:rsid w:val="004904EC"/>
    <w:pPr>
      <w:keepLines/>
      <w:spacing w:before="240" w:after="0"/>
      <w:ind w:right="0"/>
      <w:contextualSpacing w:val="0"/>
      <w:jc w:val="both"/>
    </w:pPr>
    <w:rPr>
      <w:rFonts w:asciiTheme="majorHAnsi" w:eastAsiaTheme="majorEastAsia" w:hAnsiTheme="majorHAnsi" w:cstheme="majorBidi"/>
      <w:b w:val="0"/>
      <w:bCs w:val="0"/>
      <w:color w:val="365F91" w:themeColor="accent1" w:themeShade="BF"/>
      <w:kern w:val="0"/>
      <w:sz w:val="32"/>
      <w:lang w:val="en-US" w:eastAsia="en-US"/>
    </w:rPr>
  </w:style>
  <w:style w:type="character" w:customStyle="1" w:styleId="CitaviBibliographyHeadingZchn">
    <w:name w:val="Citavi Bibliography Heading Zchn"/>
    <w:basedOn w:val="Absatz-Standardschriftart"/>
    <w:link w:val="CitaviBibliographyHeading"/>
    <w:uiPriority w:val="99"/>
    <w:rsid w:val="004904EC"/>
    <w:rPr>
      <w:rFonts w:asciiTheme="majorHAnsi" w:eastAsiaTheme="majorEastAsia" w:hAnsiTheme="majorHAnsi" w:cstheme="majorBidi"/>
      <w:color w:val="365F91" w:themeColor="accent1" w:themeShade="BF"/>
      <w:sz w:val="32"/>
      <w:szCs w:val="32"/>
      <w:lang w:val="en-US" w:eastAsia="en-US"/>
    </w:rPr>
  </w:style>
  <w:style w:type="character" w:styleId="Hyperlink">
    <w:name w:val="Hyperlink"/>
    <w:basedOn w:val="Absatz-Standardschriftart"/>
    <w:uiPriority w:val="99"/>
    <w:unhideWhenUsed/>
    <w:rsid w:val="007346F5"/>
    <w:rPr>
      <w:color w:val="0000FF" w:themeColor="hyperlink"/>
      <w:u w:val="single"/>
    </w:rPr>
  </w:style>
  <w:style w:type="character" w:styleId="NichtaufgelsteErwhnung">
    <w:name w:val="Unresolved Mention"/>
    <w:basedOn w:val="Absatz-Standardschriftart"/>
    <w:uiPriority w:val="99"/>
    <w:semiHidden/>
    <w:unhideWhenUsed/>
    <w:rsid w:val="007346F5"/>
    <w:rPr>
      <w:color w:val="605E5C"/>
      <w:shd w:val="clear" w:color="auto" w:fill="E1DFDD"/>
    </w:rPr>
  </w:style>
  <w:style w:type="paragraph" w:styleId="berarbeitung">
    <w:name w:val="Revision"/>
    <w:hidden/>
    <w:semiHidden/>
    <w:rsid w:val="003E03B5"/>
    <w:rPr>
      <w:sz w:val="24"/>
      <w:szCs w:val="24"/>
    </w:rPr>
  </w:style>
  <w:style w:type="character" w:styleId="Kommentarzeichen">
    <w:name w:val="annotation reference"/>
    <w:basedOn w:val="Absatz-Standardschriftart"/>
    <w:semiHidden/>
    <w:unhideWhenUsed/>
    <w:rsid w:val="009922A1"/>
    <w:rPr>
      <w:sz w:val="16"/>
      <w:szCs w:val="16"/>
    </w:rPr>
  </w:style>
  <w:style w:type="paragraph" w:styleId="Kommentartext">
    <w:name w:val="annotation text"/>
    <w:basedOn w:val="Standard"/>
    <w:link w:val="KommentartextZchn"/>
    <w:unhideWhenUsed/>
    <w:rsid w:val="009922A1"/>
    <w:pPr>
      <w:spacing w:line="240" w:lineRule="auto"/>
    </w:pPr>
    <w:rPr>
      <w:sz w:val="20"/>
      <w:szCs w:val="20"/>
    </w:rPr>
  </w:style>
  <w:style w:type="character" w:customStyle="1" w:styleId="KommentartextZchn">
    <w:name w:val="Kommentartext Zchn"/>
    <w:basedOn w:val="Absatz-Standardschriftart"/>
    <w:link w:val="Kommentartext"/>
    <w:rsid w:val="009922A1"/>
  </w:style>
  <w:style w:type="paragraph" w:styleId="Kommentarthema">
    <w:name w:val="annotation subject"/>
    <w:basedOn w:val="Kommentartext"/>
    <w:next w:val="Kommentartext"/>
    <w:link w:val="KommentarthemaZchn"/>
    <w:semiHidden/>
    <w:unhideWhenUsed/>
    <w:rsid w:val="009922A1"/>
    <w:rPr>
      <w:b/>
      <w:bCs/>
    </w:rPr>
  </w:style>
  <w:style w:type="character" w:customStyle="1" w:styleId="KommentarthemaZchn">
    <w:name w:val="Kommentarthema Zchn"/>
    <w:basedOn w:val="KommentartextZchn"/>
    <w:link w:val="Kommentarthema"/>
    <w:semiHidden/>
    <w:rsid w:val="009922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ld.kindermann@fh-steyr.at" TargetMode="Externa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esearchgate.net/profile/Harald-Kindermann/research"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holar.google.at/citations?user=ukt11NMAAAAJ&amp;hl=e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hyperlink" Target="https://www.ncbi.nlm.nih.gov/myncbi/harald.kindermann.2/bibliography/publi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rcid.org/my-orcid?orcid=0000-0003-3308-2981" TargetMode="External"/><Relationship Id="rId14" Type="http://schemas.openxmlformats.org/officeDocument/2006/relationships/image" Target="media/image2.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al\AppData\Local\Temp\Temp1_TF_Template_Word_Windows_2016.zip\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2914E-4C3A-4163-A6C9-332A453E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TF_Template_Word_Windows_2016.dotx</Template>
  <TotalTime>0</TotalTime>
  <Pages>22</Pages>
  <Words>3427</Words>
  <Characters>21594</Characters>
  <Application>Microsoft Office Word</Application>
  <DocSecurity>0</DocSecurity>
  <Lines>179</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TF_Template_Word_Windows_2016</vt:lpstr>
      <vt:lpstr>TF_Template_Word_Windows_2016</vt:lpstr>
    </vt:vector>
  </TitlesOfParts>
  <Company>Informa Plc</Company>
  <LinksUpToDate>false</LinksUpToDate>
  <CharactersWithSpaces>24972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Harry Kindermann</dc:creator>
  <cp:lastModifiedBy>Kindermann Harald</cp:lastModifiedBy>
  <cp:revision>2</cp:revision>
  <cp:lastPrinted>2011-07-22T14:54:00Z</cp:lastPrinted>
  <dcterms:created xsi:type="dcterms:W3CDTF">2023-05-23T08:41:00Z</dcterms:created>
  <dcterms:modified xsi:type="dcterms:W3CDTF">2023-05-23T08:41:00Z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d284458f386c6d35d77d4666e1441829d9d646b120d9c7684c985d92449a27f4</vt:lpwstr>
  </property>
</Properties>
</file>